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D5" w:rsidRPr="003D50D5" w:rsidRDefault="003D50D5" w:rsidP="003D50D5">
      <w:pPr>
        <w:jc w:val="center"/>
        <w:rPr>
          <w:sz w:val="28"/>
          <w:szCs w:val="28"/>
        </w:rPr>
      </w:pPr>
      <w:r w:rsidRPr="003D50D5">
        <w:rPr>
          <w:i/>
          <w:sz w:val="28"/>
          <w:szCs w:val="28"/>
        </w:rPr>
        <w:t>La Liberté guidant le peuple</w:t>
      </w:r>
      <w:r w:rsidRPr="003D50D5">
        <w:rPr>
          <w:sz w:val="28"/>
          <w:szCs w:val="28"/>
        </w:rPr>
        <w:t>, Delacroix (18</w:t>
      </w:r>
      <w:r w:rsidR="0083606E">
        <w:rPr>
          <w:sz w:val="28"/>
          <w:szCs w:val="28"/>
        </w:rPr>
        <w:t>30</w:t>
      </w:r>
      <w:r w:rsidRPr="003D50D5">
        <w:rPr>
          <w:sz w:val="28"/>
          <w:szCs w:val="28"/>
        </w:rPr>
        <w:t>)</w:t>
      </w:r>
    </w:p>
    <w:p w:rsidR="003D50D5" w:rsidRDefault="003D50D5" w:rsidP="003D50D5">
      <w:pPr>
        <w:jc w:val="center"/>
      </w:pPr>
      <w:r>
        <w:rPr>
          <w:noProof/>
          <w:lang w:eastAsia="fr-FR"/>
        </w:rPr>
        <w:drawing>
          <wp:inline distT="0" distB="0" distL="0" distR="0">
            <wp:extent cx="6329059" cy="505046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667" t="1247" r="1136"/>
                    <a:stretch>
                      <a:fillRect/>
                    </a:stretch>
                  </pic:blipFill>
                  <pic:spPr bwMode="auto">
                    <a:xfrm>
                      <a:off x="0" y="0"/>
                      <a:ext cx="6329059" cy="5050465"/>
                    </a:xfrm>
                    <a:prstGeom prst="rect">
                      <a:avLst/>
                    </a:prstGeom>
                    <a:noFill/>
                    <a:ln w="9525">
                      <a:noFill/>
                      <a:miter lim="800000"/>
                      <a:headEnd/>
                      <a:tailEnd/>
                    </a:ln>
                  </pic:spPr>
                </pic:pic>
              </a:graphicData>
            </a:graphic>
          </wp:inline>
        </w:drawing>
      </w:r>
    </w:p>
    <w:p w:rsidR="0083606E" w:rsidRDefault="0083606E">
      <w:r>
        <w:br w:type="page"/>
      </w:r>
    </w:p>
    <w:p w:rsidR="00CB1FA7" w:rsidRPr="00CB1FA7" w:rsidRDefault="00CB1FA7" w:rsidP="00CB1FA7">
      <w:pPr>
        <w:jc w:val="both"/>
        <w:rPr>
          <w:sz w:val="32"/>
          <w:szCs w:val="32"/>
          <w:lang w:val="en-US"/>
        </w:rPr>
      </w:pPr>
      <w:r w:rsidRPr="00CB1FA7">
        <w:rPr>
          <w:rFonts w:ascii="Times" w:hAnsi="Times" w:cs="Times"/>
          <w:sz w:val="32"/>
          <w:szCs w:val="32"/>
          <w:lang w:val="en-US"/>
        </w:rPr>
        <w:lastRenderedPageBreak/>
        <w:t>Delacroix was a formidable painter. He was born in 1798. The title of this painting is:  Liberty Guiding the People!</w:t>
      </w:r>
    </w:p>
    <w:p w:rsidR="00CB1FA7" w:rsidRPr="00CB1FA7" w:rsidRDefault="00CB1FA7" w:rsidP="00CB1FA7">
      <w:pPr>
        <w:jc w:val="both"/>
        <w:rPr>
          <w:sz w:val="32"/>
          <w:szCs w:val="32"/>
          <w:lang w:val="en-US"/>
        </w:rPr>
      </w:pPr>
      <w:r w:rsidRPr="00CB1FA7">
        <w:rPr>
          <w:rFonts w:ascii="Times" w:hAnsi="Times" w:cs="Times"/>
          <w:sz w:val="32"/>
          <w:szCs w:val="32"/>
          <w:lang w:val="en-US"/>
        </w:rPr>
        <w:t xml:space="preserve">This painting commemorates the July Revolution of 1830, which chased away King Charles X of France. </w:t>
      </w:r>
    </w:p>
    <w:p w:rsidR="00CB1FA7" w:rsidRPr="00CB1FA7" w:rsidRDefault="00CB1FA7" w:rsidP="00CB1FA7">
      <w:pPr>
        <w:jc w:val="both"/>
        <w:rPr>
          <w:sz w:val="32"/>
          <w:szCs w:val="32"/>
          <w:lang w:val="en-US"/>
        </w:rPr>
      </w:pPr>
      <w:r w:rsidRPr="00CB1FA7">
        <w:rPr>
          <w:rFonts w:ascii="Times" w:hAnsi="Times" w:cs="Times"/>
          <w:sz w:val="32"/>
          <w:szCs w:val="32"/>
          <w:lang w:val="en-US"/>
        </w:rPr>
        <w:t>The scene is situated in Paris, as recognized by the Cathedral of Notre Dame’s towers in the background to the right.</w:t>
      </w:r>
    </w:p>
    <w:p w:rsidR="00CB1FA7" w:rsidRPr="00CB1FA7" w:rsidRDefault="00CB1FA7" w:rsidP="00CB1FA7">
      <w:pPr>
        <w:jc w:val="both"/>
        <w:rPr>
          <w:sz w:val="32"/>
          <w:szCs w:val="32"/>
          <w:lang w:val="en-US"/>
        </w:rPr>
      </w:pPr>
      <w:r w:rsidRPr="00CB1FA7">
        <w:rPr>
          <w:rFonts w:ascii="Times" w:hAnsi="Times" w:cs="Times"/>
          <w:sz w:val="32"/>
          <w:szCs w:val="32"/>
          <w:lang w:val="en-US"/>
        </w:rPr>
        <w:t>The easiest way to understand this painting is by looking at the contrasts. At the bottom of this painting we have those who have fallen for their homeland. Moreover, on the left side we have this dark side the man with guns. However, they are all heading to the same direction, which is to the right towards the right. Delacroix suggests that the people were tired of following this so-called King, and wanted a country where no one would be put down by anyone; a country of solidarity and equality. </w:t>
      </w:r>
    </w:p>
    <w:p w:rsidR="00CB1FA7" w:rsidRPr="00CB1FA7" w:rsidRDefault="00CB1FA7" w:rsidP="00CB1FA7">
      <w:pPr>
        <w:jc w:val="both"/>
        <w:rPr>
          <w:sz w:val="32"/>
          <w:szCs w:val="32"/>
          <w:lang w:val="en-US"/>
        </w:rPr>
      </w:pPr>
      <w:r w:rsidRPr="00CB1FA7">
        <w:rPr>
          <w:rFonts w:ascii="Times" w:hAnsi="Times" w:cs="Times"/>
          <w:sz w:val="32"/>
          <w:szCs w:val="32"/>
          <w:lang w:val="en-US"/>
        </w:rPr>
        <w:t xml:space="preserve">In addition, we see the flag of France, with its three </w:t>
      </w:r>
      <w:proofErr w:type="spellStart"/>
      <w:r w:rsidRPr="00CB1FA7">
        <w:rPr>
          <w:rFonts w:ascii="Times" w:hAnsi="Times" w:cs="Times"/>
          <w:sz w:val="32"/>
          <w:szCs w:val="32"/>
          <w:lang w:val="en-US"/>
        </w:rPr>
        <w:t>colours</w:t>
      </w:r>
      <w:proofErr w:type="spellEnd"/>
      <w:r w:rsidRPr="00CB1FA7">
        <w:rPr>
          <w:rFonts w:ascii="Times" w:hAnsi="Times" w:cs="Times"/>
          <w:sz w:val="32"/>
          <w:szCs w:val="32"/>
          <w:lang w:val="en-US"/>
        </w:rPr>
        <w:t xml:space="preserve">: blue, white and red, which </w:t>
      </w:r>
      <w:proofErr w:type="gramStart"/>
      <w:r w:rsidRPr="00CB1FA7">
        <w:rPr>
          <w:rFonts w:ascii="Times" w:hAnsi="Times" w:cs="Times"/>
          <w:sz w:val="32"/>
          <w:szCs w:val="32"/>
          <w:lang w:val="en-US"/>
        </w:rPr>
        <w:t>is</w:t>
      </w:r>
      <w:proofErr w:type="gramEnd"/>
      <w:r w:rsidRPr="00CB1FA7">
        <w:rPr>
          <w:rFonts w:ascii="Times" w:hAnsi="Times" w:cs="Times"/>
          <w:sz w:val="32"/>
          <w:szCs w:val="32"/>
          <w:lang w:val="en-US"/>
        </w:rPr>
        <w:t xml:space="preserve"> connected to the French motto: liberty, equality and fraternity. </w:t>
      </w:r>
    </w:p>
    <w:p w:rsidR="00CB1FA7" w:rsidRPr="00CB1FA7" w:rsidRDefault="00CB1FA7" w:rsidP="00CB1FA7">
      <w:pPr>
        <w:jc w:val="both"/>
        <w:rPr>
          <w:sz w:val="32"/>
          <w:szCs w:val="32"/>
          <w:lang w:val="en-US"/>
        </w:rPr>
      </w:pPr>
      <w:r w:rsidRPr="00CB1FA7">
        <w:rPr>
          <w:rFonts w:ascii="Times" w:hAnsi="Times" w:cs="Times"/>
          <w:sz w:val="32"/>
          <w:szCs w:val="32"/>
          <w:lang w:val="en-US"/>
        </w:rPr>
        <w:t>A woman is leading the people forward over the fallen bodies and holding the flag up high in the sky. This woman personifies Liberty. Today the figure of Liberty is also viewed as a symbol of France and the French Republic, known as Marianne.</w:t>
      </w:r>
    </w:p>
    <w:p w:rsidR="00CB1FA7" w:rsidRPr="00CB1FA7" w:rsidRDefault="00CB1FA7" w:rsidP="00CB1FA7">
      <w:pPr>
        <w:jc w:val="both"/>
        <w:rPr>
          <w:sz w:val="32"/>
          <w:szCs w:val="32"/>
          <w:lang w:val="en-US"/>
        </w:rPr>
      </w:pPr>
      <w:r w:rsidRPr="00CB1FA7">
        <w:rPr>
          <w:rFonts w:ascii="Times" w:hAnsi="Times" w:cs="Times"/>
          <w:sz w:val="32"/>
          <w:szCs w:val="32"/>
          <w:lang w:val="en-US"/>
        </w:rPr>
        <w:t>To conclude, Delacroix's message was to transform the views of civilization and to bring the French people into the romantic era.</w:t>
      </w:r>
    </w:p>
    <w:p w:rsidR="00CB1FA7" w:rsidRPr="00CB1FA7" w:rsidRDefault="00CB1FA7" w:rsidP="00CB1FA7">
      <w:pPr>
        <w:rPr>
          <w:rFonts w:ascii="Times New Roman" w:hAnsi="Times New Roman" w:cs="Times New Roman"/>
          <w:lang w:val="en-US"/>
        </w:rPr>
      </w:pPr>
    </w:p>
    <w:p w:rsidR="00182A56" w:rsidRDefault="00182A56" w:rsidP="0083606E">
      <w:pPr>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val="en-US" w:eastAsia="fr-FR"/>
        </w:rPr>
      </w:pPr>
    </w:p>
    <w:p w:rsidR="00CB1FA7" w:rsidRPr="00182A56" w:rsidRDefault="00CB1FA7" w:rsidP="0083606E">
      <w:pPr>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val="en-US" w:eastAsia="fr-FR"/>
        </w:rPr>
      </w:pPr>
    </w:p>
    <w:p w:rsidR="0083606E" w:rsidRDefault="0083606E" w:rsidP="008360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CB1FA7">
        <w:rPr>
          <w:rFonts w:ascii="Times New Roman" w:eastAsia="Times New Roman" w:hAnsi="Times New Roman" w:cs="Times New Roman"/>
          <w:b/>
          <w:bCs/>
          <w:i/>
          <w:iCs/>
          <w:color w:val="000000" w:themeColor="text1"/>
          <w:sz w:val="24"/>
          <w:szCs w:val="24"/>
          <w:lang w:eastAsia="fr-FR"/>
        </w:rPr>
        <w:t>La Liberté gui</w:t>
      </w:r>
      <w:r w:rsidRPr="0083606E">
        <w:rPr>
          <w:rFonts w:ascii="Times New Roman" w:eastAsia="Times New Roman" w:hAnsi="Times New Roman" w:cs="Times New Roman"/>
          <w:b/>
          <w:bCs/>
          <w:i/>
          <w:iCs/>
          <w:color w:val="000000" w:themeColor="text1"/>
          <w:sz w:val="24"/>
          <w:szCs w:val="24"/>
          <w:lang w:eastAsia="fr-FR"/>
        </w:rPr>
        <w:t>dant le peuple</w:t>
      </w:r>
      <w:r w:rsidRPr="0083606E">
        <w:rPr>
          <w:rFonts w:ascii="Times New Roman" w:eastAsia="Times New Roman" w:hAnsi="Times New Roman" w:cs="Times New Roman"/>
          <w:color w:val="000000" w:themeColor="text1"/>
          <w:sz w:val="24"/>
          <w:szCs w:val="24"/>
          <w:lang w:eastAsia="fr-FR"/>
        </w:rPr>
        <w:t xml:space="preserve"> (325 cm × 260 cm)</w:t>
      </w:r>
      <w:r>
        <w:rPr>
          <w:rFonts w:ascii="Times New Roman" w:eastAsia="Times New Roman" w:hAnsi="Times New Roman" w:cs="Times New Roman"/>
          <w:color w:val="000000" w:themeColor="text1"/>
          <w:sz w:val="24"/>
          <w:szCs w:val="24"/>
          <w:lang w:eastAsia="fr-FR"/>
        </w:rPr>
        <w:t xml:space="preserve"> </w:t>
      </w:r>
      <w:r w:rsidRPr="0083606E">
        <w:rPr>
          <w:rFonts w:ascii="Times New Roman" w:eastAsia="Times New Roman" w:hAnsi="Times New Roman" w:cs="Times New Roman"/>
          <w:color w:val="000000" w:themeColor="text1"/>
          <w:sz w:val="24"/>
          <w:szCs w:val="24"/>
          <w:lang w:eastAsia="fr-FR"/>
        </w:rPr>
        <w:t xml:space="preserve">est une </w:t>
      </w:r>
      <w:hyperlink r:id="rId6" w:tooltip="Peinture à l'huile" w:history="1">
        <w:r w:rsidRPr="0083606E">
          <w:rPr>
            <w:rFonts w:ascii="Times New Roman" w:eastAsia="Times New Roman" w:hAnsi="Times New Roman" w:cs="Times New Roman"/>
            <w:color w:val="000000" w:themeColor="text1"/>
            <w:sz w:val="24"/>
            <w:szCs w:val="24"/>
            <w:lang w:eastAsia="fr-FR"/>
          </w:rPr>
          <w:t>huile sur toile</w:t>
        </w:r>
      </w:hyperlink>
      <w:r w:rsidRPr="0083606E">
        <w:rPr>
          <w:rFonts w:ascii="Times New Roman" w:eastAsia="Times New Roman" w:hAnsi="Times New Roman" w:cs="Times New Roman"/>
          <w:color w:val="000000" w:themeColor="text1"/>
          <w:sz w:val="24"/>
          <w:szCs w:val="24"/>
          <w:lang w:eastAsia="fr-FR"/>
        </w:rPr>
        <w:t xml:space="preserve"> d'</w:t>
      </w:r>
      <w:hyperlink r:id="rId7" w:tooltip="Eugène Delacroix" w:history="1">
        <w:r w:rsidRPr="0083606E">
          <w:rPr>
            <w:rFonts w:ascii="Times New Roman" w:eastAsia="Times New Roman" w:hAnsi="Times New Roman" w:cs="Times New Roman"/>
            <w:color w:val="000000" w:themeColor="text1"/>
            <w:sz w:val="24"/>
            <w:szCs w:val="24"/>
            <w:lang w:eastAsia="fr-FR"/>
          </w:rPr>
          <w:t>Eugène Delacroix</w:t>
        </w:r>
      </w:hyperlink>
      <w:r w:rsidRPr="0083606E">
        <w:rPr>
          <w:rFonts w:ascii="Times New Roman" w:eastAsia="Times New Roman" w:hAnsi="Times New Roman" w:cs="Times New Roman"/>
          <w:color w:val="000000" w:themeColor="text1"/>
          <w:sz w:val="24"/>
          <w:szCs w:val="24"/>
          <w:lang w:eastAsia="fr-FR"/>
        </w:rPr>
        <w:t xml:space="preserve"> réalisée en </w:t>
      </w:r>
      <w:hyperlink r:id="rId8" w:tooltip="1830" w:history="1">
        <w:r w:rsidRPr="0083606E">
          <w:rPr>
            <w:rFonts w:ascii="Times New Roman" w:eastAsia="Times New Roman" w:hAnsi="Times New Roman" w:cs="Times New Roman"/>
            <w:color w:val="000000" w:themeColor="text1"/>
            <w:sz w:val="24"/>
            <w:szCs w:val="24"/>
            <w:lang w:eastAsia="fr-FR"/>
          </w:rPr>
          <w:t>1830</w:t>
        </w:r>
      </w:hyperlink>
      <w:r w:rsidRPr="0083606E">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p</w:t>
      </w:r>
      <w:r w:rsidRPr="0083606E">
        <w:rPr>
          <w:rFonts w:ascii="Times New Roman" w:eastAsia="Times New Roman" w:hAnsi="Times New Roman" w:cs="Times New Roman"/>
          <w:color w:val="000000" w:themeColor="text1"/>
          <w:sz w:val="24"/>
          <w:szCs w:val="24"/>
          <w:lang w:eastAsia="fr-FR"/>
        </w:rPr>
        <w:t xml:space="preserve">résentée au public au </w:t>
      </w:r>
      <w:hyperlink r:id="rId9" w:tooltip="Salon de Paris" w:history="1">
        <w:r w:rsidRPr="0083606E">
          <w:rPr>
            <w:rFonts w:ascii="Times New Roman" w:eastAsia="Times New Roman" w:hAnsi="Times New Roman" w:cs="Times New Roman"/>
            <w:color w:val="000000" w:themeColor="text1"/>
            <w:sz w:val="24"/>
            <w:szCs w:val="24"/>
            <w:lang w:eastAsia="fr-FR"/>
          </w:rPr>
          <w:t>Salon de Paris</w:t>
        </w:r>
      </w:hyperlink>
      <w:r w:rsidRPr="0083606E">
        <w:rPr>
          <w:rFonts w:ascii="Times New Roman" w:eastAsia="Times New Roman" w:hAnsi="Times New Roman" w:cs="Times New Roman"/>
          <w:color w:val="000000" w:themeColor="text1"/>
          <w:sz w:val="24"/>
          <w:szCs w:val="24"/>
          <w:lang w:eastAsia="fr-FR"/>
        </w:rPr>
        <w:t xml:space="preserve"> de </w:t>
      </w:r>
      <w:hyperlink r:id="rId10" w:tooltip="1831" w:history="1">
        <w:r w:rsidRPr="0083606E">
          <w:rPr>
            <w:rFonts w:ascii="Times New Roman" w:eastAsia="Times New Roman" w:hAnsi="Times New Roman" w:cs="Times New Roman"/>
            <w:color w:val="000000" w:themeColor="text1"/>
            <w:sz w:val="24"/>
            <w:szCs w:val="24"/>
            <w:lang w:eastAsia="fr-FR"/>
          </w:rPr>
          <w:t>1831</w:t>
        </w:r>
      </w:hyperlink>
      <w:r w:rsidRPr="0083606E">
        <w:rPr>
          <w:rFonts w:ascii="Times New Roman" w:eastAsia="Times New Roman" w:hAnsi="Times New Roman" w:cs="Times New Roman"/>
          <w:color w:val="000000" w:themeColor="text1"/>
          <w:sz w:val="24"/>
          <w:szCs w:val="24"/>
          <w:lang w:eastAsia="fr-FR"/>
        </w:rPr>
        <w:t xml:space="preserve"> sous le titre </w:t>
      </w:r>
      <w:r w:rsidRPr="0083606E">
        <w:rPr>
          <w:rFonts w:ascii="Times New Roman" w:eastAsia="Times New Roman" w:hAnsi="Times New Roman" w:cs="Times New Roman"/>
          <w:b/>
          <w:bCs/>
          <w:i/>
          <w:iCs/>
          <w:color w:val="000000" w:themeColor="text1"/>
          <w:sz w:val="24"/>
          <w:szCs w:val="24"/>
          <w:lang w:eastAsia="fr-FR"/>
        </w:rPr>
        <w:t>Scènes de barricades</w:t>
      </w:r>
      <w:r w:rsidRPr="0083606E">
        <w:rPr>
          <w:rFonts w:ascii="Times New Roman" w:eastAsia="Times New Roman" w:hAnsi="Times New Roman" w:cs="Times New Roman"/>
          <w:color w:val="000000" w:themeColor="text1"/>
          <w:sz w:val="24"/>
          <w:szCs w:val="24"/>
          <w:lang w:eastAsia="fr-FR"/>
        </w:rPr>
        <w:t xml:space="preserve">, transférée au </w:t>
      </w:r>
      <w:hyperlink r:id="rId11" w:tooltip="Musée du Louvre" w:history="1">
        <w:r w:rsidRPr="0083606E">
          <w:rPr>
            <w:rFonts w:ascii="Times New Roman" w:eastAsia="Times New Roman" w:hAnsi="Times New Roman" w:cs="Times New Roman"/>
            <w:color w:val="000000" w:themeColor="text1"/>
            <w:sz w:val="24"/>
            <w:szCs w:val="24"/>
            <w:lang w:eastAsia="fr-FR"/>
          </w:rPr>
          <w:t>musée du Louvre</w:t>
        </w:r>
      </w:hyperlink>
      <w:r w:rsidRPr="0083606E">
        <w:rPr>
          <w:rFonts w:ascii="Times New Roman" w:eastAsia="Times New Roman" w:hAnsi="Times New Roman" w:cs="Times New Roman"/>
          <w:color w:val="000000" w:themeColor="text1"/>
          <w:sz w:val="24"/>
          <w:szCs w:val="24"/>
          <w:lang w:eastAsia="fr-FR"/>
        </w:rPr>
        <w:t xml:space="preserve"> en </w:t>
      </w:r>
      <w:hyperlink r:id="rId12" w:tooltip="1874" w:history="1">
        <w:r w:rsidRPr="0083606E">
          <w:rPr>
            <w:rFonts w:ascii="Times New Roman" w:eastAsia="Times New Roman" w:hAnsi="Times New Roman" w:cs="Times New Roman"/>
            <w:color w:val="000000" w:themeColor="text1"/>
            <w:sz w:val="24"/>
            <w:szCs w:val="24"/>
            <w:lang w:eastAsia="fr-FR"/>
          </w:rPr>
          <w:t>1874</w:t>
        </w:r>
      </w:hyperlink>
      <w:r w:rsidRPr="0083606E">
        <w:rPr>
          <w:rFonts w:ascii="Times New Roman" w:eastAsia="Times New Roman" w:hAnsi="Times New Roman" w:cs="Times New Roman"/>
          <w:color w:val="000000" w:themeColor="text1"/>
          <w:sz w:val="24"/>
          <w:szCs w:val="24"/>
          <w:lang w:eastAsia="fr-FR"/>
        </w:rPr>
        <w:t xml:space="preserve"> où elle fut l'une des œuvres les plus fréquentées.</w:t>
      </w:r>
    </w:p>
    <w:p w:rsidR="0083606E" w:rsidRPr="0083606E" w:rsidRDefault="0083606E" w:rsidP="008360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83606E">
        <w:rPr>
          <w:rFonts w:ascii="Times New Roman" w:eastAsia="Times New Roman" w:hAnsi="Times New Roman" w:cs="Times New Roman"/>
          <w:color w:val="000000" w:themeColor="text1"/>
          <w:sz w:val="24"/>
          <w:szCs w:val="24"/>
          <w:lang w:eastAsia="fr-FR"/>
        </w:rPr>
        <w:t xml:space="preserve">Le peintre a fait connaître sa toile comme une allégorie inspirée par l'actualité la plus brûlante. Elle a pour cadre les </w:t>
      </w:r>
      <w:hyperlink r:id="rId13" w:tooltip="Trois Glorieuses" w:history="1">
        <w:r w:rsidRPr="0083606E">
          <w:rPr>
            <w:rFonts w:ascii="Times New Roman" w:eastAsia="Times New Roman" w:hAnsi="Times New Roman" w:cs="Times New Roman"/>
            <w:color w:val="000000" w:themeColor="text1"/>
            <w:sz w:val="24"/>
            <w:szCs w:val="24"/>
            <w:lang w:eastAsia="fr-FR"/>
          </w:rPr>
          <w:t>trois journées</w:t>
        </w:r>
      </w:hyperlink>
      <w:r w:rsidRPr="0083606E">
        <w:rPr>
          <w:rFonts w:ascii="Times New Roman" w:eastAsia="Times New Roman" w:hAnsi="Times New Roman" w:cs="Times New Roman"/>
          <w:color w:val="000000" w:themeColor="text1"/>
          <w:sz w:val="24"/>
          <w:szCs w:val="24"/>
          <w:lang w:eastAsia="fr-FR"/>
        </w:rPr>
        <w:t xml:space="preserve"> du soulèvement populaire parisien contre </w:t>
      </w:r>
      <w:hyperlink r:id="rId14" w:tooltip="Charles X de France" w:history="1">
        <w:r w:rsidRPr="0083606E">
          <w:rPr>
            <w:rFonts w:ascii="Times New Roman" w:eastAsia="Times New Roman" w:hAnsi="Times New Roman" w:cs="Times New Roman"/>
            <w:color w:val="000000" w:themeColor="text1"/>
            <w:sz w:val="24"/>
            <w:szCs w:val="24"/>
            <w:lang w:eastAsia="fr-FR"/>
          </w:rPr>
          <w:t>Charles X</w:t>
        </w:r>
      </w:hyperlink>
      <w:r w:rsidRPr="0083606E">
        <w:rPr>
          <w:rFonts w:ascii="Times New Roman" w:eastAsia="Times New Roman" w:hAnsi="Times New Roman" w:cs="Times New Roman"/>
          <w:color w:val="000000" w:themeColor="text1"/>
          <w:sz w:val="24"/>
          <w:szCs w:val="24"/>
          <w:lang w:eastAsia="fr-FR"/>
        </w:rPr>
        <w:t xml:space="preserve">, les 27, 28 et 29 juillet 1830, connues sous le nom des </w:t>
      </w:r>
      <w:r w:rsidR="00791E84">
        <w:rPr>
          <w:rFonts w:ascii="Times New Roman" w:eastAsia="Times New Roman" w:hAnsi="Times New Roman" w:cs="Times New Roman"/>
          <w:color w:val="000000" w:themeColor="text1"/>
          <w:sz w:val="24"/>
          <w:szCs w:val="24"/>
          <w:lang w:eastAsia="fr-FR"/>
        </w:rPr>
        <w:t>« </w:t>
      </w:r>
      <w:r w:rsidRPr="0083606E">
        <w:rPr>
          <w:rFonts w:ascii="Times New Roman" w:eastAsia="Times New Roman" w:hAnsi="Times New Roman" w:cs="Times New Roman"/>
          <w:color w:val="000000" w:themeColor="text1"/>
          <w:sz w:val="24"/>
          <w:szCs w:val="24"/>
          <w:lang w:eastAsia="fr-FR"/>
        </w:rPr>
        <w:t>Trois Glorieuses</w:t>
      </w:r>
      <w:r w:rsidR="00791E84">
        <w:rPr>
          <w:rFonts w:ascii="Times New Roman" w:eastAsia="Times New Roman" w:hAnsi="Times New Roman" w:cs="Times New Roman"/>
          <w:color w:val="000000" w:themeColor="text1"/>
          <w:sz w:val="24"/>
          <w:szCs w:val="24"/>
          <w:lang w:eastAsia="fr-FR"/>
        </w:rPr>
        <w:t> »</w:t>
      </w:r>
      <w:r w:rsidRPr="0083606E">
        <w:rPr>
          <w:rFonts w:ascii="Times New Roman" w:eastAsia="Times New Roman" w:hAnsi="Times New Roman" w:cs="Times New Roman"/>
          <w:color w:val="000000" w:themeColor="text1"/>
          <w:sz w:val="24"/>
          <w:szCs w:val="24"/>
          <w:lang w:eastAsia="fr-FR"/>
        </w:rPr>
        <w:t>.</w:t>
      </w:r>
      <w:r>
        <w:rPr>
          <w:rFonts w:ascii="Times New Roman" w:eastAsia="Times New Roman" w:hAnsi="Times New Roman" w:cs="Times New Roman"/>
          <w:color w:val="000000" w:themeColor="text1"/>
          <w:sz w:val="24"/>
          <w:szCs w:val="24"/>
          <w:lang w:eastAsia="fr-FR"/>
        </w:rPr>
        <w:t xml:space="preserve"> </w:t>
      </w:r>
      <w:r w:rsidRPr="0083606E">
        <w:rPr>
          <w:rFonts w:ascii="Times New Roman" w:eastAsia="Times New Roman" w:hAnsi="Times New Roman" w:cs="Times New Roman"/>
          <w:color w:val="000000" w:themeColor="text1"/>
          <w:sz w:val="24"/>
          <w:szCs w:val="24"/>
          <w:lang w:eastAsia="fr-FR"/>
        </w:rPr>
        <w:t xml:space="preserve">Le 25 juillet, Charles X publie quatre ordonnances dans le but d'écraser l'opposition libérale. Ces mesures comprenaient la suspension de la </w:t>
      </w:r>
      <w:hyperlink r:id="rId15" w:tooltip="Liberté de la presse" w:history="1">
        <w:r w:rsidRPr="0083606E">
          <w:rPr>
            <w:rFonts w:ascii="Times New Roman" w:eastAsia="Times New Roman" w:hAnsi="Times New Roman" w:cs="Times New Roman"/>
            <w:color w:val="000000" w:themeColor="text1"/>
            <w:sz w:val="24"/>
            <w:szCs w:val="24"/>
            <w:lang w:eastAsia="fr-FR"/>
          </w:rPr>
          <w:t>liberté de la presse</w:t>
        </w:r>
      </w:hyperlink>
      <w:r w:rsidRPr="0083606E">
        <w:rPr>
          <w:rFonts w:ascii="Times New Roman" w:eastAsia="Times New Roman" w:hAnsi="Times New Roman" w:cs="Times New Roman"/>
          <w:color w:val="000000" w:themeColor="text1"/>
          <w:sz w:val="24"/>
          <w:szCs w:val="24"/>
          <w:lang w:eastAsia="fr-FR"/>
        </w:rPr>
        <w:t xml:space="preserve">, la dissolution de la Chambre des députés des départements, la réforme du suffrage </w:t>
      </w:r>
      <w:r>
        <w:rPr>
          <w:rFonts w:ascii="Times New Roman" w:eastAsia="Times New Roman" w:hAnsi="Times New Roman" w:cs="Times New Roman"/>
          <w:color w:val="000000" w:themeColor="text1"/>
          <w:sz w:val="24"/>
          <w:szCs w:val="24"/>
          <w:lang w:eastAsia="fr-FR"/>
        </w:rPr>
        <w:t>pour les élections</w:t>
      </w:r>
      <w:r w:rsidRPr="0083606E">
        <w:rPr>
          <w:rFonts w:ascii="Times New Roman" w:eastAsia="Times New Roman" w:hAnsi="Times New Roman" w:cs="Times New Roman"/>
          <w:color w:val="000000" w:themeColor="text1"/>
          <w:sz w:val="24"/>
          <w:szCs w:val="24"/>
          <w:lang w:eastAsia="fr-FR"/>
        </w:rPr>
        <w:t xml:space="preserve">. L'opposition appelle à la désobéissance. Les classes moyennes et le peuple de Paris se révoltent. Charles X abdique. </w:t>
      </w:r>
      <w:hyperlink r:id="rId16" w:tooltip="Louis-Philippe Ier" w:history="1">
        <w:r w:rsidRPr="0083606E">
          <w:rPr>
            <w:rFonts w:ascii="Times New Roman" w:eastAsia="Times New Roman" w:hAnsi="Times New Roman" w:cs="Times New Roman"/>
            <w:color w:val="000000" w:themeColor="text1"/>
            <w:sz w:val="24"/>
            <w:szCs w:val="24"/>
            <w:lang w:eastAsia="fr-FR"/>
          </w:rPr>
          <w:t>Louis-Philippe</w:t>
        </w:r>
      </w:hyperlink>
      <w:r w:rsidRPr="0083606E">
        <w:rPr>
          <w:rFonts w:ascii="Times New Roman" w:eastAsia="Times New Roman" w:hAnsi="Times New Roman" w:cs="Times New Roman"/>
          <w:color w:val="000000" w:themeColor="text1"/>
          <w:sz w:val="24"/>
          <w:szCs w:val="24"/>
          <w:lang w:eastAsia="fr-FR"/>
        </w:rPr>
        <w:t xml:space="preserve"> prête fidélité à la Charte</w:t>
      </w:r>
      <w:r>
        <w:rPr>
          <w:rFonts w:ascii="Times New Roman" w:eastAsia="Times New Roman" w:hAnsi="Times New Roman" w:cs="Times New Roman"/>
          <w:color w:val="000000" w:themeColor="text1"/>
          <w:sz w:val="24"/>
          <w:szCs w:val="24"/>
          <w:lang w:eastAsia="fr-FR"/>
        </w:rPr>
        <w:t>,</w:t>
      </w:r>
      <w:r w:rsidRPr="0083606E">
        <w:rPr>
          <w:rFonts w:ascii="Times New Roman" w:eastAsia="Times New Roman" w:hAnsi="Times New Roman" w:cs="Times New Roman"/>
          <w:color w:val="000000" w:themeColor="text1"/>
          <w:sz w:val="24"/>
          <w:szCs w:val="24"/>
          <w:lang w:eastAsia="fr-FR"/>
        </w:rPr>
        <w:t xml:space="preserve"> révisée le 9 août, inaugurant la « </w:t>
      </w:r>
      <w:hyperlink r:id="rId17" w:tooltip="Monarchie de juillet" w:history="1">
        <w:r w:rsidRPr="0083606E">
          <w:rPr>
            <w:rFonts w:ascii="Times New Roman" w:eastAsia="Times New Roman" w:hAnsi="Times New Roman" w:cs="Times New Roman"/>
            <w:color w:val="000000" w:themeColor="text1"/>
            <w:sz w:val="24"/>
            <w:szCs w:val="24"/>
            <w:lang w:eastAsia="fr-FR"/>
          </w:rPr>
          <w:t>Monarchie de juillet</w:t>
        </w:r>
      </w:hyperlink>
      <w:r w:rsidRPr="0083606E">
        <w:rPr>
          <w:rFonts w:ascii="Times New Roman" w:eastAsia="Times New Roman" w:hAnsi="Times New Roman" w:cs="Times New Roman"/>
          <w:color w:val="000000" w:themeColor="text1"/>
          <w:sz w:val="24"/>
          <w:szCs w:val="24"/>
          <w:lang w:eastAsia="fr-FR"/>
        </w:rPr>
        <w:t> ».</w:t>
      </w:r>
    </w:p>
    <w:p w:rsidR="0083606E" w:rsidRPr="0083606E" w:rsidRDefault="0083606E" w:rsidP="008360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83606E">
        <w:rPr>
          <w:rFonts w:ascii="Times New Roman" w:eastAsia="Times New Roman" w:hAnsi="Times New Roman" w:cs="Times New Roman"/>
          <w:color w:val="000000" w:themeColor="text1"/>
          <w:sz w:val="24"/>
          <w:szCs w:val="24"/>
          <w:lang w:eastAsia="fr-FR"/>
        </w:rPr>
        <w:t xml:space="preserve">Quand Delacroix livre la </w:t>
      </w:r>
      <w:r w:rsidRPr="0083606E">
        <w:rPr>
          <w:rFonts w:ascii="Times New Roman" w:eastAsia="Times New Roman" w:hAnsi="Times New Roman" w:cs="Times New Roman"/>
          <w:i/>
          <w:iCs/>
          <w:color w:val="000000" w:themeColor="text1"/>
          <w:sz w:val="24"/>
          <w:szCs w:val="24"/>
          <w:lang w:eastAsia="fr-FR"/>
        </w:rPr>
        <w:t>Liberté guidant le peuple</w:t>
      </w:r>
      <w:r w:rsidRPr="0083606E">
        <w:rPr>
          <w:rFonts w:ascii="Times New Roman" w:eastAsia="Times New Roman" w:hAnsi="Times New Roman" w:cs="Times New Roman"/>
          <w:color w:val="000000" w:themeColor="text1"/>
          <w:sz w:val="24"/>
          <w:szCs w:val="24"/>
          <w:lang w:eastAsia="fr-FR"/>
        </w:rPr>
        <w:t xml:space="preserve">, il est reconnu comme le chef de file de l'école </w:t>
      </w:r>
      <w:hyperlink r:id="rId18" w:tooltip="Romantisme français" w:history="1">
        <w:r w:rsidRPr="0083606E">
          <w:rPr>
            <w:rFonts w:ascii="Times New Roman" w:eastAsia="Times New Roman" w:hAnsi="Times New Roman" w:cs="Times New Roman"/>
            <w:color w:val="000000" w:themeColor="text1"/>
            <w:sz w:val="24"/>
            <w:szCs w:val="24"/>
            <w:lang w:eastAsia="fr-FR"/>
          </w:rPr>
          <w:t>romantique</w:t>
        </w:r>
      </w:hyperlink>
      <w:r w:rsidRPr="0083606E">
        <w:rPr>
          <w:rFonts w:ascii="Times New Roman" w:eastAsia="Times New Roman" w:hAnsi="Times New Roman" w:cs="Times New Roman"/>
          <w:color w:val="000000" w:themeColor="text1"/>
          <w:sz w:val="24"/>
          <w:szCs w:val="24"/>
          <w:lang w:eastAsia="fr-FR"/>
        </w:rPr>
        <w:t xml:space="preserve"> française. Il rejette l'idéal classique et les canons de l'</w:t>
      </w:r>
      <w:hyperlink r:id="rId19" w:tooltip="Peinture académique" w:history="1">
        <w:r w:rsidRPr="0083606E">
          <w:rPr>
            <w:rFonts w:ascii="Times New Roman" w:eastAsia="Times New Roman" w:hAnsi="Times New Roman" w:cs="Times New Roman"/>
            <w:color w:val="000000" w:themeColor="text1"/>
            <w:sz w:val="24"/>
            <w:szCs w:val="24"/>
            <w:lang w:eastAsia="fr-FR"/>
          </w:rPr>
          <w:t>art académique</w:t>
        </w:r>
      </w:hyperlink>
      <w:r w:rsidRPr="0083606E">
        <w:rPr>
          <w:rFonts w:ascii="Times New Roman" w:eastAsia="Times New Roman" w:hAnsi="Times New Roman" w:cs="Times New Roman"/>
          <w:color w:val="000000" w:themeColor="text1"/>
          <w:sz w:val="24"/>
          <w:szCs w:val="24"/>
          <w:lang w:eastAsia="fr-FR"/>
        </w:rPr>
        <w:t xml:space="preserve"> de son temps.</w:t>
      </w:r>
    </w:p>
    <w:p w:rsidR="0083606E" w:rsidRPr="0083606E" w:rsidRDefault="0083606E" w:rsidP="008360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83606E">
        <w:rPr>
          <w:rFonts w:ascii="Times New Roman" w:eastAsia="Times New Roman" w:hAnsi="Times New Roman" w:cs="Times New Roman"/>
          <w:color w:val="000000" w:themeColor="text1"/>
          <w:sz w:val="24"/>
          <w:szCs w:val="24"/>
          <w:lang w:eastAsia="fr-FR"/>
        </w:rPr>
        <w:t>Le personnage central féminin attire tous les regards. La Liberté emprunte autant à la statuaire antique – drapé, pieds nus, poitrine offerte – qu'aux représentations de la femme du peuple à la lourde musculature et à la peau hâlée. Curieusement, cette figure allégorique se mêle aux hommes et participe directement aux combats. Elle rassemble le peuple, les faubourgs et la bourgeoisie déclassée dans un même lyrisme révolutionnaire, portée par la construction pyramidale.</w:t>
      </w:r>
    </w:p>
    <w:p w:rsidR="0083606E" w:rsidRPr="0083606E" w:rsidRDefault="0083606E" w:rsidP="008360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83606E">
        <w:rPr>
          <w:rFonts w:ascii="Times New Roman" w:eastAsia="Times New Roman" w:hAnsi="Times New Roman" w:cs="Times New Roman"/>
          <w:color w:val="000000" w:themeColor="text1"/>
          <w:sz w:val="24"/>
          <w:szCs w:val="24"/>
          <w:lang w:eastAsia="fr-FR"/>
        </w:rPr>
        <w:t>Delacroix joue sur un registre patriotique en restreignant volontairement sa palette de couleur et disséminant dans le tableau les trois couleurs du drapeau national. Il produit un effet d'identification : le public se sent appelé, sent qu'il fait partie du peuple. Les insurgés font face au spectateur, le dominent et marchent sur lui. Au reste, les adversaires ne sont que peu visibles, perdus dans les fumées de l'arrière-plan. Enfin, les assaillants forment une troupe disparate, dont chaque membre semble emprunter plusieurs directions.</w:t>
      </w:r>
      <w:r w:rsidR="00791E84" w:rsidRPr="00791E84">
        <w:rPr>
          <w:rFonts w:ascii="Times New Roman" w:eastAsia="Times New Roman" w:hAnsi="Times New Roman" w:cs="Times New Roman"/>
          <w:color w:val="000000" w:themeColor="text1"/>
          <w:sz w:val="24"/>
          <w:szCs w:val="24"/>
          <w:lang w:eastAsia="fr-FR"/>
        </w:rPr>
        <w:t xml:space="preserve"> </w:t>
      </w:r>
      <w:r w:rsidR="00791E84" w:rsidRPr="0083606E">
        <w:rPr>
          <w:rFonts w:ascii="Times New Roman" w:eastAsia="Times New Roman" w:hAnsi="Times New Roman" w:cs="Times New Roman"/>
          <w:color w:val="000000" w:themeColor="text1"/>
          <w:sz w:val="24"/>
          <w:szCs w:val="24"/>
          <w:lang w:eastAsia="fr-FR"/>
        </w:rPr>
        <w:t>Au milieu à droite de la toile, on peut voir les tours de la cathédrale de Notre-Dame, donc la scène se passe à Paris.</w:t>
      </w:r>
    </w:p>
    <w:p w:rsidR="0083606E" w:rsidRPr="0083606E" w:rsidRDefault="0083606E" w:rsidP="008360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83606E">
        <w:rPr>
          <w:rFonts w:ascii="Times New Roman" w:eastAsia="Times New Roman" w:hAnsi="Times New Roman" w:cs="Times New Roman"/>
          <w:color w:val="000000" w:themeColor="text1"/>
          <w:sz w:val="24"/>
          <w:szCs w:val="24"/>
          <w:lang w:eastAsia="fr-FR"/>
        </w:rPr>
        <w:t xml:space="preserve">La scène a probablement inspiré à </w:t>
      </w:r>
      <w:hyperlink r:id="rId20" w:tooltip="Victor Hugo" w:history="1">
        <w:r w:rsidRPr="0083606E">
          <w:rPr>
            <w:rFonts w:ascii="Times New Roman" w:eastAsia="Times New Roman" w:hAnsi="Times New Roman" w:cs="Times New Roman"/>
            <w:color w:val="000000" w:themeColor="text1"/>
            <w:sz w:val="24"/>
            <w:szCs w:val="24"/>
            <w:lang w:eastAsia="fr-FR"/>
          </w:rPr>
          <w:t>Victor Hugo</w:t>
        </w:r>
      </w:hyperlink>
      <w:r w:rsidRPr="0083606E">
        <w:rPr>
          <w:rFonts w:ascii="Times New Roman" w:eastAsia="Times New Roman" w:hAnsi="Times New Roman" w:cs="Times New Roman"/>
          <w:color w:val="000000" w:themeColor="text1"/>
          <w:sz w:val="24"/>
          <w:szCs w:val="24"/>
          <w:lang w:eastAsia="fr-FR"/>
        </w:rPr>
        <w:t xml:space="preserve"> sa barricade dans </w:t>
      </w:r>
      <w:hyperlink r:id="rId21" w:tooltip="Les Misérables" w:history="1">
        <w:r w:rsidRPr="00791E84">
          <w:rPr>
            <w:rFonts w:ascii="Times New Roman" w:eastAsia="Times New Roman" w:hAnsi="Times New Roman" w:cs="Times New Roman"/>
            <w:i/>
            <w:color w:val="000000" w:themeColor="text1"/>
            <w:sz w:val="24"/>
            <w:szCs w:val="24"/>
            <w:lang w:eastAsia="fr-FR"/>
          </w:rPr>
          <w:t>Les Misérables</w:t>
        </w:r>
      </w:hyperlink>
      <w:r w:rsidRPr="0083606E">
        <w:rPr>
          <w:rFonts w:ascii="Times New Roman" w:eastAsia="Times New Roman" w:hAnsi="Times New Roman" w:cs="Times New Roman"/>
          <w:i/>
          <w:color w:val="000000" w:themeColor="text1"/>
          <w:sz w:val="24"/>
          <w:szCs w:val="24"/>
          <w:lang w:eastAsia="fr-FR"/>
        </w:rPr>
        <w:t xml:space="preserve"> </w:t>
      </w:r>
      <w:r w:rsidRPr="0083606E">
        <w:rPr>
          <w:rFonts w:ascii="Times New Roman" w:eastAsia="Times New Roman" w:hAnsi="Times New Roman" w:cs="Times New Roman"/>
          <w:color w:val="000000" w:themeColor="text1"/>
          <w:sz w:val="24"/>
          <w:szCs w:val="24"/>
          <w:lang w:eastAsia="fr-FR"/>
        </w:rPr>
        <w:t xml:space="preserve">et plus particulièrement son personnage de </w:t>
      </w:r>
      <w:hyperlink r:id="rId22" w:tooltip="Gavroche" w:history="1">
        <w:r w:rsidRPr="0083606E">
          <w:rPr>
            <w:rFonts w:ascii="Times New Roman" w:eastAsia="Times New Roman" w:hAnsi="Times New Roman" w:cs="Times New Roman"/>
            <w:color w:val="000000" w:themeColor="text1"/>
            <w:sz w:val="24"/>
            <w:szCs w:val="24"/>
            <w:lang w:eastAsia="fr-FR"/>
          </w:rPr>
          <w:t>Gavroche</w:t>
        </w:r>
      </w:hyperlink>
      <w:r w:rsidRPr="0083606E">
        <w:rPr>
          <w:rFonts w:ascii="Times New Roman" w:eastAsia="Times New Roman" w:hAnsi="Times New Roman" w:cs="Times New Roman"/>
          <w:vanish/>
          <w:color w:val="000000" w:themeColor="text1"/>
          <w:sz w:val="24"/>
          <w:szCs w:val="24"/>
          <w:vertAlign w:val="superscript"/>
          <w:lang w:eastAsia="fr-FR"/>
        </w:rPr>
        <w:t>[]</w:t>
      </w:r>
      <w:r w:rsidRPr="0083606E">
        <w:rPr>
          <w:rFonts w:ascii="Times New Roman" w:eastAsia="Times New Roman" w:hAnsi="Times New Roman" w:cs="Times New Roman"/>
          <w:color w:val="000000" w:themeColor="text1"/>
          <w:sz w:val="24"/>
          <w:szCs w:val="24"/>
          <w:lang w:eastAsia="fr-FR"/>
        </w:rPr>
        <w:t>.</w:t>
      </w:r>
    </w:p>
    <w:p w:rsidR="0083606E" w:rsidRDefault="0083606E" w:rsidP="008360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83606E">
        <w:rPr>
          <w:rFonts w:ascii="Times New Roman" w:eastAsia="Times New Roman" w:hAnsi="Times New Roman" w:cs="Times New Roman"/>
          <w:i/>
          <w:iCs/>
          <w:color w:val="000000" w:themeColor="text1"/>
          <w:sz w:val="24"/>
          <w:szCs w:val="24"/>
          <w:lang w:eastAsia="fr-FR"/>
        </w:rPr>
        <w:t>La Liberté guidant le peuple</w:t>
      </w:r>
      <w:r w:rsidRPr="0083606E">
        <w:rPr>
          <w:rFonts w:ascii="Times New Roman" w:eastAsia="Times New Roman" w:hAnsi="Times New Roman" w:cs="Times New Roman"/>
          <w:color w:val="000000" w:themeColor="text1"/>
          <w:sz w:val="24"/>
          <w:szCs w:val="24"/>
          <w:lang w:eastAsia="fr-FR"/>
        </w:rPr>
        <w:t xml:space="preserve"> figure parmi les œuvres du </w:t>
      </w:r>
      <w:hyperlink r:id="rId23" w:tooltip="XIXe siècle" w:history="1">
        <w:r w:rsidRPr="0083606E">
          <w:rPr>
            <w:rFonts w:ascii="Times New Roman" w:eastAsia="Times New Roman" w:hAnsi="Times New Roman" w:cs="Times New Roman"/>
            <w:smallCaps/>
            <w:color w:val="000000" w:themeColor="text1"/>
            <w:sz w:val="24"/>
            <w:szCs w:val="24"/>
            <w:lang w:eastAsia="fr-FR"/>
          </w:rPr>
          <w:t>XIX</w:t>
        </w:r>
        <w:r w:rsidRPr="0083606E">
          <w:rPr>
            <w:rFonts w:ascii="Times New Roman" w:eastAsia="Times New Roman" w:hAnsi="Times New Roman" w:cs="Times New Roman"/>
            <w:color w:val="000000" w:themeColor="text1"/>
            <w:sz w:val="24"/>
            <w:szCs w:val="24"/>
            <w:vertAlign w:val="superscript"/>
            <w:lang w:eastAsia="fr-FR"/>
          </w:rPr>
          <w:t>e</w:t>
        </w:r>
        <w:r w:rsidRPr="0083606E">
          <w:rPr>
            <w:rFonts w:ascii="Times New Roman" w:eastAsia="Times New Roman" w:hAnsi="Times New Roman" w:cs="Times New Roman"/>
            <w:color w:val="000000" w:themeColor="text1"/>
            <w:sz w:val="24"/>
            <w:szCs w:val="24"/>
            <w:lang w:eastAsia="fr-FR"/>
          </w:rPr>
          <w:t> siècle</w:t>
        </w:r>
      </w:hyperlink>
      <w:r w:rsidRPr="0083606E">
        <w:rPr>
          <w:rFonts w:ascii="Times New Roman" w:eastAsia="Times New Roman" w:hAnsi="Times New Roman" w:cs="Times New Roman"/>
          <w:color w:val="000000" w:themeColor="text1"/>
          <w:sz w:val="24"/>
          <w:szCs w:val="24"/>
          <w:lang w:eastAsia="fr-FR"/>
        </w:rPr>
        <w:t xml:space="preserve"> les plus mobilisées au </w:t>
      </w:r>
      <w:hyperlink r:id="rId24" w:tooltip="XXe siècle" w:history="1">
        <w:r w:rsidRPr="0083606E">
          <w:rPr>
            <w:rFonts w:ascii="Times New Roman" w:eastAsia="Times New Roman" w:hAnsi="Times New Roman" w:cs="Times New Roman"/>
            <w:smallCaps/>
            <w:color w:val="000000" w:themeColor="text1"/>
            <w:sz w:val="24"/>
            <w:szCs w:val="24"/>
            <w:lang w:eastAsia="fr-FR"/>
          </w:rPr>
          <w:t>XX</w:t>
        </w:r>
        <w:r w:rsidRPr="0083606E">
          <w:rPr>
            <w:rFonts w:ascii="Times New Roman" w:eastAsia="Times New Roman" w:hAnsi="Times New Roman" w:cs="Times New Roman"/>
            <w:color w:val="000000" w:themeColor="text1"/>
            <w:sz w:val="24"/>
            <w:szCs w:val="24"/>
            <w:vertAlign w:val="superscript"/>
            <w:lang w:eastAsia="fr-FR"/>
          </w:rPr>
          <w:t>e</w:t>
        </w:r>
        <w:r w:rsidRPr="0083606E">
          <w:rPr>
            <w:rFonts w:ascii="Times New Roman" w:eastAsia="Times New Roman" w:hAnsi="Times New Roman" w:cs="Times New Roman"/>
            <w:color w:val="000000" w:themeColor="text1"/>
            <w:sz w:val="24"/>
            <w:szCs w:val="24"/>
            <w:lang w:eastAsia="fr-FR"/>
          </w:rPr>
          <w:t> siècle</w:t>
        </w:r>
      </w:hyperlink>
      <w:r w:rsidRPr="0083606E">
        <w:rPr>
          <w:rFonts w:ascii="Times New Roman" w:eastAsia="Times New Roman" w:hAnsi="Times New Roman" w:cs="Times New Roman"/>
          <w:color w:val="000000" w:themeColor="text1"/>
          <w:sz w:val="24"/>
          <w:szCs w:val="24"/>
          <w:lang w:eastAsia="fr-FR"/>
        </w:rPr>
        <w:t xml:space="preserve"> que ce soit pour un usage officiel, publicitaire ou scolaire</w:t>
      </w:r>
      <w:hyperlink r:id="rId25" w:anchor="cite_note-16" w:history="1">
        <w:r w:rsidRPr="0083606E">
          <w:rPr>
            <w:rFonts w:ascii="Times New Roman" w:eastAsia="Times New Roman" w:hAnsi="Times New Roman" w:cs="Times New Roman"/>
            <w:vanish/>
            <w:color w:val="000000" w:themeColor="text1"/>
            <w:sz w:val="24"/>
            <w:szCs w:val="24"/>
            <w:vertAlign w:val="superscript"/>
            <w:lang w:eastAsia="fr-FR"/>
          </w:rPr>
          <w:t>[</w:t>
        </w:r>
        <w:r w:rsidRPr="0083606E">
          <w:rPr>
            <w:rFonts w:ascii="Times New Roman" w:eastAsia="Times New Roman" w:hAnsi="Times New Roman" w:cs="Times New Roman"/>
            <w:color w:val="000000" w:themeColor="text1"/>
            <w:sz w:val="24"/>
            <w:szCs w:val="24"/>
            <w:vertAlign w:val="superscript"/>
            <w:lang w:eastAsia="fr-FR"/>
          </w:rPr>
          <w:t>16</w:t>
        </w:r>
        <w:r w:rsidRPr="0083606E">
          <w:rPr>
            <w:rFonts w:ascii="Times New Roman" w:eastAsia="Times New Roman" w:hAnsi="Times New Roman" w:cs="Times New Roman"/>
            <w:vanish/>
            <w:color w:val="000000" w:themeColor="text1"/>
            <w:sz w:val="24"/>
            <w:szCs w:val="24"/>
            <w:vertAlign w:val="superscript"/>
            <w:lang w:eastAsia="fr-FR"/>
          </w:rPr>
          <w:t>]</w:t>
        </w:r>
      </w:hyperlink>
      <w:r w:rsidRPr="0083606E">
        <w:rPr>
          <w:rFonts w:ascii="Times New Roman" w:eastAsia="Times New Roman" w:hAnsi="Times New Roman" w:cs="Times New Roman"/>
          <w:color w:val="000000" w:themeColor="text1"/>
          <w:sz w:val="24"/>
          <w:szCs w:val="24"/>
          <w:lang w:eastAsia="fr-FR"/>
        </w:rPr>
        <w:t xml:space="preserve">. En France, elle prend valeur d'emblème. Son ancrage patriotique lui vaut de devenir un symbole républicain, voire une </w:t>
      </w:r>
      <w:r w:rsidRPr="0083606E">
        <w:rPr>
          <w:rFonts w:ascii="Times New Roman" w:eastAsia="Times New Roman" w:hAnsi="Times New Roman" w:cs="Times New Roman"/>
          <w:color w:val="000000" w:themeColor="text1"/>
          <w:sz w:val="24"/>
          <w:szCs w:val="24"/>
          <w:lang w:eastAsia="fr-FR"/>
        </w:rPr>
        <w:lastRenderedPageBreak/>
        <w:t xml:space="preserve">icône de la République. L'œuvre illustre les </w:t>
      </w:r>
      <w:hyperlink r:id="rId26" w:tooltip="Billet de banque" w:history="1">
        <w:r w:rsidRPr="0083606E">
          <w:rPr>
            <w:rFonts w:ascii="Times New Roman" w:eastAsia="Times New Roman" w:hAnsi="Times New Roman" w:cs="Times New Roman"/>
            <w:color w:val="000000" w:themeColor="text1"/>
            <w:sz w:val="24"/>
            <w:szCs w:val="24"/>
            <w:lang w:eastAsia="fr-FR"/>
          </w:rPr>
          <w:t>billets de banque</w:t>
        </w:r>
      </w:hyperlink>
      <w:r w:rsidRPr="0083606E">
        <w:rPr>
          <w:rFonts w:ascii="Times New Roman" w:eastAsia="Times New Roman" w:hAnsi="Times New Roman" w:cs="Times New Roman"/>
          <w:color w:val="000000" w:themeColor="text1"/>
          <w:sz w:val="24"/>
          <w:szCs w:val="24"/>
          <w:lang w:eastAsia="fr-FR"/>
        </w:rPr>
        <w:t xml:space="preserve"> de cent </w:t>
      </w:r>
      <w:hyperlink r:id="rId27" w:tooltip="Franc français" w:history="1">
        <w:r w:rsidRPr="0083606E">
          <w:rPr>
            <w:rFonts w:ascii="Times New Roman" w:eastAsia="Times New Roman" w:hAnsi="Times New Roman" w:cs="Times New Roman"/>
            <w:color w:val="000000" w:themeColor="text1"/>
            <w:sz w:val="24"/>
            <w:szCs w:val="24"/>
            <w:lang w:eastAsia="fr-FR"/>
          </w:rPr>
          <w:t>francs</w:t>
        </w:r>
      </w:hyperlink>
      <w:r w:rsidRPr="0083606E">
        <w:rPr>
          <w:rFonts w:ascii="Times New Roman" w:eastAsia="Times New Roman" w:hAnsi="Times New Roman" w:cs="Times New Roman"/>
          <w:color w:val="000000" w:themeColor="text1"/>
          <w:sz w:val="24"/>
          <w:szCs w:val="24"/>
          <w:lang w:eastAsia="fr-FR"/>
        </w:rPr>
        <w:t xml:space="preserve"> de 1978 à 1995. La Liberté se meut en Marianne pour la série de </w:t>
      </w:r>
      <w:hyperlink r:id="rId28" w:tooltip="Timbre d'usage courant" w:history="1">
        <w:r w:rsidRPr="0083606E">
          <w:rPr>
            <w:rFonts w:ascii="Times New Roman" w:eastAsia="Times New Roman" w:hAnsi="Times New Roman" w:cs="Times New Roman"/>
            <w:color w:val="000000" w:themeColor="text1"/>
            <w:sz w:val="24"/>
            <w:szCs w:val="24"/>
            <w:lang w:eastAsia="fr-FR"/>
          </w:rPr>
          <w:t>timbres d'usage courant</w:t>
        </w:r>
      </w:hyperlink>
      <w:r w:rsidRPr="0083606E">
        <w:rPr>
          <w:rFonts w:ascii="Times New Roman" w:eastAsia="Times New Roman" w:hAnsi="Times New Roman" w:cs="Times New Roman"/>
          <w:color w:val="000000" w:themeColor="text1"/>
          <w:sz w:val="24"/>
          <w:szCs w:val="24"/>
          <w:lang w:eastAsia="fr-FR"/>
        </w:rPr>
        <w:t xml:space="preserve"> </w:t>
      </w:r>
      <w:proofErr w:type="gramStart"/>
      <w:r w:rsidRPr="0083606E">
        <w:rPr>
          <w:rFonts w:ascii="Times New Roman" w:eastAsia="Times New Roman" w:hAnsi="Times New Roman" w:cs="Times New Roman"/>
          <w:color w:val="000000" w:themeColor="text1"/>
          <w:sz w:val="24"/>
          <w:szCs w:val="24"/>
          <w:lang w:eastAsia="fr-FR"/>
        </w:rPr>
        <w:t>gravé</w:t>
      </w:r>
      <w:proofErr w:type="gramEnd"/>
      <w:r w:rsidRPr="0083606E">
        <w:rPr>
          <w:rFonts w:ascii="Times New Roman" w:eastAsia="Times New Roman" w:hAnsi="Times New Roman" w:cs="Times New Roman"/>
          <w:color w:val="000000" w:themeColor="text1"/>
          <w:sz w:val="24"/>
          <w:szCs w:val="24"/>
          <w:lang w:eastAsia="fr-FR"/>
        </w:rPr>
        <w:t xml:space="preserve"> par </w:t>
      </w:r>
      <w:hyperlink r:id="rId29" w:tooltip="Pierre Gandon" w:history="1">
        <w:r w:rsidRPr="0083606E">
          <w:rPr>
            <w:rFonts w:ascii="Times New Roman" w:eastAsia="Times New Roman" w:hAnsi="Times New Roman" w:cs="Times New Roman"/>
            <w:color w:val="000000" w:themeColor="text1"/>
            <w:sz w:val="24"/>
            <w:szCs w:val="24"/>
            <w:lang w:eastAsia="fr-FR"/>
          </w:rPr>
          <w:t xml:space="preserve">Pierre </w:t>
        </w:r>
        <w:proofErr w:type="spellStart"/>
        <w:r w:rsidRPr="0083606E">
          <w:rPr>
            <w:rFonts w:ascii="Times New Roman" w:eastAsia="Times New Roman" w:hAnsi="Times New Roman" w:cs="Times New Roman"/>
            <w:color w:val="000000" w:themeColor="text1"/>
            <w:sz w:val="24"/>
            <w:szCs w:val="24"/>
            <w:lang w:eastAsia="fr-FR"/>
          </w:rPr>
          <w:t>Gandon</w:t>
        </w:r>
        <w:proofErr w:type="spellEnd"/>
      </w:hyperlink>
      <w:r w:rsidRPr="0083606E">
        <w:rPr>
          <w:rFonts w:ascii="Times New Roman" w:eastAsia="Times New Roman" w:hAnsi="Times New Roman" w:cs="Times New Roman"/>
          <w:color w:val="000000" w:themeColor="text1"/>
          <w:sz w:val="24"/>
          <w:szCs w:val="24"/>
          <w:lang w:eastAsia="fr-FR"/>
        </w:rPr>
        <w:t>, « </w:t>
      </w:r>
      <w:hyperlink r:id="rId30" w:tooltip="Liberté de Gandon d'après Delacroix" w:history="1">
        <w:r w:rsidRPr="0083606E">
          <w:rPr>
            <w:rFonts w:ascii="Times New Roman" w:eastAsia="Times New Roman" w:hAnsi="Times New Roman" w:cs="Times New Roman"/>
            <w:color w:val="000000" w:themeColor="text1"/>
            <w:sz w:val="24"/>
            <w:szCs w:val="24"/>
            <w:lang w:eastAsia="fr-FR"/>
          </w:rPr>
          <w:t>Liberté</w:t>
        </w:r>
      </w:hyperlink>
      <w:r w:rsidRPr="0083606E">
        <w:rPr>
          <w:rFonts w:ascii="Times New Roman" w:eastAsia="Times New Roman" w:hAnsi="Times New Roman" w:cs="Times New Roman"/>
          <w:color w:val="000000" w:themeColor="text1"/>
          <w:sz w:val="24"/>
          <w:szCs w:val="24"/>
          <w:lang w:eastAsia="fr-FR"/>
        </w:rPr>
        <w:t> » de 1982 à 1990.</w:t>
      </w:r>
    </w:p>
    <w:p w:rsidR="00182A56" w:rsidRDefault="00182A56">
      <w:pPr>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br w:type="page"/>
      </w:r>
    </w:p>
    <w:sectPr w:rsidR="00182A56" w:rsidSect="000C4F4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075D"/>
    <w:multiLevelType w:val="multilevel"/>
    <w:tmpl w:val="B4743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0C4F4C"/>
    <w:rsid w:val="000673EB"/>
    <w:rsid w:val="000C4F4C"/>
    <w:rsid w:val="00182A56"/>
    <w:rsid w:val="003D50D5"/>
    <w:rsid w:val="00681C8A"/>
    <w:rsid w:val="00791E84"/>
    <w:rsid w:val="00820E6D"/>
    <w:rsid w:val="0083606E"/>
    <w:rsid w:val="00CB1FA7"/>
    <w:rsid w:val="00DE78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5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0D5"/>
    <w:rPr>
      <w:rFonts w:ascii="Tahoma" w:hAnsi="Tahoma" w:cs="Tahoma"/>
      <w:sz w:val="16"/>
      <w:szCs w:val="16"/>
    </w:rPr>
  </w:style>
  <w:style w:type="character" w:styleId="Lienhypertexte">
    <w:name w:val="Hyperlink"/>
    <w:basedOn w:val="Policepardfaut"/>
    <w:uiPriority w:val="99"/>
    <w:semiHidden/>
    <w:unhideWhenUsed/>
    <w:rsid w:val="0083606E"/>
    <w:rPr>
      <w:color w:val="0000FF"/>
      <w:u w:val="single"/>
    </w:rPr>
  </w:style>
  <w:style w:type="paragraph" w:styleId="NormalWeb">
    <w:name w:val="Normal (Web)"/>
    <w:basedOn w:val="Normal"/>
    <w:uiPriority w:val="99"/>
    <w:semiHidden/>
    <w:unhideWhenUsed/>
    <w:rsid w:val="008360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1">
    <w:name w:val="nowrap1"/>
    <w:basedOn w:val="Policepardfaut"/>
    <w:rsid w:val="0083606E"/>
  </w:style>
  <w:style w:type="character" w:customStyle="1" w:styleId="plainlinks">
    <w:name w:val="plainlinks"/>
    <w:basedOn w:val="Policepardfaut"/>
    <w:rsid w:val="0083606E"/>
  </w:style>
  <w:style w:type="character" w:customStyle="1" w:styleId="citecrochet1">
    <w:name w:val="cite_crochet1"/>
    <w:basedOn w:val="Policepardfaut"/>
    <w:rsid w:val="0083606E"/>
    <w:rPr>
      <w:vanish/>
      <w:webHidden w:val="0"/>
      <w:specVanish w:val="0"/>
    </w:rPr>
  </w:style>
  <w:style w:type="character" w:customStyle="1" w:styleId="toctoggle">
    <w:name w:val="toctoggle"/>
    <w:basedOn w:val="Policepardfaut"/>
    <w:rsid w:val="0083606E"/>
  </w:style>
  <w:style w:type="character" w:customStyle="1" w:styleId="tocnumber">
    <w:name w:val="tocnumber"/>
    <w:basedOn w:val="Policepardfaut"/>
    <w:rsid w:val="0083606E"/>
  </w:style>
  <w:style w:type="character" w:customStyle="1" w:styleId="toctext">
    <w:name w:val="toctext"/>
    <w:basedOn w:val="Policepardfaut"/>
    <w:rsid w:val="0083606E"/>
  </w:style>
  <w:style w:type="character" w:customStyle="1" w:styleId="mw-headline">
    <w:name w:val="mw-headline"/>
    <w:basedOn w:val="Policepardfaut"/>
    <w:rsid w:val="0083606E"/>
  </w:style>
  <w:style w:type="character" w:customStyle="1" w:styleId="mw-editsection1">
    <w:name w:val="mw-editsection1"/>
    <w:basedOn w:val="Policepardfaut"/>
    <w:rsid w:val="0083606E"/>
    <w:rPr>
      <w:sz w:val="20"/>
      <w:szCs w:val="20"/>
    </w:rPr>
  </w:style>
  <w:style w:type="character" w:customStyle="1" w:styleId="mw-editsection-bracket">
    <w:name w:val="mw-editsection-bracket"/>
    <w:basedOn w:val="Policepardfaut"/>
    <w:rsid w:val="0083606E"/>
  </w:style>
  <w:style w:type="character" w:customStyle="1" w:styleId="mw-editsection-divider1">
    <w:name w:val="mw-editsection-divider1"/>
    <w:basedOn w:val="Policepardfaut"/>
    <w:rsid w:val="0083606E"/>
    <w:rPr>
      <w:color w:val="555555"/>
    </w:rPr>
  </w:style>
  <w:style w:type="character" w:customStyle="1" w:styleId="romain1">
    <w:name w:val="romain1"/>
    <w:basedOn w:val="Policepardfaut"/>
    <w:rsid w:val="0083606E"/>
    <w:rPr>
      <w:smallCaps/>
    </w:rPr>
  </w:style>
  <w:style w:type="character" w:customStyle="1" w:styleId="citation">
    <w:name w:val="citation"/>
    <w:basedOn w:val="Policepardfaut"/>
    <w:rsid w:val="0083606E"/>
  </w:style>
</w:styles>
</file>

<file path=word/webSettings.xml><?xml version="1.0" encoding="utf-8"?>
<w:webSettings xmlns:r="http://schemas.openxmlformats.org/officeDocument/2006/relationships" xmlns:w="http://schemas.openxmlformats.org/wordprocessingml/2006/main">
  <w:divs>
    <w:div w:id="40709604">
      <w:bodyDiv w:val="1"/>
      <w:marLeft w:val="0"/>
      <w:marRight w:val="0"/>
      <w:marTop w:val="0"/>
      <w:marBottom w:val="0"/>
      <w:divBdr>
        <w:top w:val="none" w:sz="0" w:space="0" w:color="auto"/>
        <w:left w:val="none" w:sz="0" w:space="0" w:color="auto"/>
        <w:bottom w:val="none" w:sz="0" w:space="0" w:color="auto"/>
        <w:right w:val="none" w:sz="0" w:space="0" w:color="auto"/>
      </w:divBdr>
      <w:divsChild>
        <w:div w:id="124352070">
          <w:marLeft w:val="0"/>
          <w:marRight w:val="0"/>
          <w:marTop w:val="0"/>
          <w:marBottom w:val="0"/>
          <w:divBdr>
            <w:top w:val="none" w:sz="0" w:space="0" w:color="auto"/>
            <w:left w:val="none" w:sz="0" w:space="0" w:color="auto"/>
            <w:bottom w:val="none" w:sz="0" w:space="0" w:color="auto"/>
            <w:right w:val="none" w:sz="0" w:space="0" w:color="auto"/>
          </w:divBdr>
          <w:divsChild>
            <w:div w:id="1532258175">
              <w:marLeft w:val="0"/>
              <w:marRight w:val="0"/>
              <w:marTop w:val="0"/>
              <w:marBottom w:val="0"/>
              <w:divBdr>
                <w:top w:val="none" w:sz="0" w:space="0" w:color="auto"/>
                <w:left w:val="none" w:sz="0" w:space="0" w:color="auto"/>
                <w:bottom w:val="none" w:sz="0" w:space="0" w:color="auto"/>
                <w:right w:val="none" w:sz="0" w:space="0" w:color="auto"/>
              </w:divBdr>
              <w:divsChild>
                <w:div w:id="930625863">
                  <w:marLeft w:val="0"/>
                  <w:marRight w:val="0"/>
                  <w:marTop w:val="0"/>
                  <w:marBottom w:val="0"/>
                  <w:divBdr>
                    <w:top w:val="none" w:sz="0" w:space="0" w:color="auto"/>
                    <w:left w:val="none" w:sz="0" w:space="0" w:color="auto"/>
                    <w:bottom w:val="none" w:sz="0" w:space="0" w:color="auto"/>
                    <w:right w:val="none" w:sz="0" w:space="0" w:color="auto"/>
                  </w:divBdr>
                </w:div>
                <w:div w:id="2017224988">
                  <w:marLeft w:val="0"/>
                  <w:marRight w:val="0"/>
                  <w:marTop w:val="0"/>
                  <w:marBottom w:val="0"/>
                  <w:divBdr>
                    <w:top w:val="none" w:sz="0" w:space="0" w:color="auto"/>
                    <w:left w:val="none" w:sz="0" w:space="0" w:color="auto"/>
                    <w:bottom w:val="none" w:sz="0" w:space="0" w:color="auto"/>
                    <w:right w:val="none" w:sz="0" w:space="0" w:color="auto"/>
                  </w:divBdr>
                </w:div>
                <w:div w:id="1498884942">
                  <w:marLeft w:val="0"/>
                  <w:marRight w:val="0"/>
                  <w:marTop w:val="0"/>
                  <w:marBottom w:val="0"/>
                  <w:divBdr>
                    <w:top w:val="none" w:sz="0" w:space="0" w:color="auto"/>
                    <w:left w:val="none" w:sz="0" w:space="0" w:color="auto"/>
                    <w:bottom w:val="none" w:sz="0" w:space="0" w:color="auto"/>
                    <w:right w:val="none" w:sz="0" w:space="0" w:color="auto"/>
                  </w:divBdr>
                  <w:divsChild>
                    <w:div w:id="2018337531">
                      <w:marLeft w:val="0"/>
                      <w:marRight w:val="0"/>
                      <w:marTop w:val="0"/>
                      <w:marBottom w:val="0"/>
                      <w:divBdr>
                        <w:top w:val="none" w:sz="0" w:space="0" w:color="auto"/>
                        <w:left w:val="none" w:sz="0" w:space="0" w:color="auto"/>
                        <w:bottom w:val="none" w:sz="0" w:space="0" w:color="auto"/>
                        <w:right w:val="none" w:sz="0" w:space="0" w:color="auto"/>
                      </w:divBdr>
                      <w:divsChild>
                        <w:div w:id="211503844">
                          <w:marLeft w:val="0"/>
                          <w:marRight w:val="0"/>
                          <w:marTop w:val="0"/>
                          <w:marBottom w:val="0"/>
                          <w:divBdr>
                            <w:top w:val="none" w:sz="0" w:space="0" w:color="auto"/>
                            <w:left w:val="none" w:sz="0" w:space="0" w:color="auto"/>
                            <w:bottom w:val="none" w:sz="0" w:space="0" w:color="auto"/>
                            <w:right w:val="none" w:sz="0" w:space="0" w:color="auto"/>
                          </w:divBdr>
                        </w:div>
                      </w:divsChild>
                    </w:div>
                    <w:div w:id="1429733702">
                      <w:marLeft w:val="480"/>
                      <w:marRight w:val="0"/>
                      <w:marTop w:val="0"/>
                      <w:marBottom w:val="168"/>
                      <w:divBdr>
                        <w:top w:val="single" w:sz="6" w:space="2" w:color="auto"/>
                        <w:left w:val="single" w:sz="2" w:space="3" w:color="auto"/>
                        <w:bottom w:val="single" w:sz="6" w:space="1" w:color="auto"/>
                        <w:right w:val="single" w:sz="2" w:space="0" w:color="auto"/>
                      </w:divBdr>
                    </w:div>
                    <w:div w:id="382949120">
                      <w:marLeft w:val="0"/>
                      <w:marRight w:val="0"/>
                      <w:marTop w:val="0"/>
                      <w:marBottom w:val="0"/>
                      <w:divBdr>
                        <w:top w:val="none" w:sz="0" w:space="0" w:color="auto"/>
                        <w:left w:val="none" w:sz="0" w:space="0" w:color="auto"/>
                        <w:bottom w:val="none" w:sz="0" w:space="0" w:color="auto"/>
                        <w:right w:val="none" w:sz="0" w:space="0" w:color="auto"/>
                      </w:divBdr>
                      <w:divsChild>
                        <w:div w:id="433936484">
                          <w:marLeft w:val="0"/>
                          <w:marRight w:val="0"/>
                          <w:marTop w:val="0"/>
                          <w:marBottom w:val="0"/>
                          <w:divBdr>
                            <w:top w:val="none" w:sz="0" w:space="0" w:color="auto"/>
                            <w:left w:val="none" w:sz="0" w:space="0" w:color="auto"/>
                            <w:bottom w:val="none" w:sz="0" w:space="0" w:color="auto"/>
                            <w:right w:val="none" w:sz="0" w:space="0" w:color="auto"/>
                          </w:divBdr>
                          <w:divsChild>
                            <w:div w:id="1788429321">
                              <w:marLeft w:val="0"/>
                              <w:marRight w:val="0"/>
                              <w:marTop w:val="0"/>
                              <w:marBottom w:val="0"/>
                              <w:divBdr>
                                <w:top w:val="none" w:sz="0" w:space="0" w:color="auto"/>
                                <w:left w:val="none" w:sz="0" w:space="0" w:color="auto"/>
                                <w:bottom w:val="none" w:sz="0" w:space="0" w:color="auto"/>
                                <w:right w:val="none" w:sz="0" w:space="0" w:color="auto"/>
                              </w:divBdr>
                              <w:divsChild>
                                <w:div w:id="16319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713">
                      <w:marLeft w:val="0"/>
                      <w:marRight w:val="0"/>
                      <w:marTop w:val="0"/>
                      <w:marBottom w:val="0"/>
                      <w:divBdr>
                        <w:top w:val="none" w:sz="0" w:space="0" w:color="auto"/>
                        <w:left w:val="none" w:sz="0" w:space="0" w:color="auto"/>
                        <w:bottom w:val="none" w:sz="0" w:space="0" w:color="auto"/>
                        <w:right w:val="none" w:sz="0" w:space="0" w:color="auto"/>
                      </w:divBdr>
                      <w:divsChild>
                        <w:div w:id="586113788">
                          <w:marLeft w:val="0"/>
                          <w:marRight w:val="0"/>
                          <w:marTop w:val="0"/>
                          <w:marBottom w:val="0"/>
                          <w:divBdr>
                            <w:top w:val="none" w:sz="0" w:space="0" w:color="auto"/>
                            <w:left w:val="none" w:sz="0" w:space="0" w:color="auto"/>
                            <w:bottom w:val="none" w:sz="0" w:space="0" w:color="auto"/>
                            <w:right w:val="none" w:sz="0" w:space="0" w:color="auto"/>
                          </w:divBdr>
                          <w:divsChild>
                            <w:div w:id="1664309068">
                              <w:marLeft w:val="0"/>
                              <w:marRight w:val="0"/>
                              <w:marTop w:val="0"/>
                              <w:marBottom w:val="0"/>
                              <w:divBdr>
                                <w:top w:val="none" w:sz="0" w:space="0" w:color="auto"/>
                                <w:left w:val="none" w:sz="0" w:space="0" w:color="auto"/>
                                <w:bottom w:val="none" w:sz="0" w:space="0" w:color="auto"/>
                                <w:right w:val="none" w:sz="0" w:space="0" w:color="auto"/>
                              </w:divBdr>
                              <w:divsChild>
                                <w:div w:id="11208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2547">
                      <w:marLeft w:val="0"/>
                      <w:marRight w:val="0"/>
                      <w:marTop w:val="0"/>
                      <w:marBottom w:val="0"/>
                      <w:divBdr>
                        <w:top w:val="none" w:sz="0" w:space="0" w:color="auto"/>
                        <w:left w:val="none" w:sz="0" w:space="0" w:color="auto"/>
                        <w:bottom w:val="none" w:sz="0" w:space="0" w:color="auto"/>
                        <w:right w:val="none" w:sz="0" w:space="0" w:color="auto"/>
                      </w:divBdr>
                      <w:divsChild>
                        <w:div w:id="145364378">
                          <w:marLeft w:val="0"/>
                          <w:marRight w:val="0"/>
                          <w:marTop w:val="0"/>
                          <w:marBottom w:val="0"/>
                          <w:divBdr>
                            <w:top w:val="none" w:sz="0" w:space="0" w:color="auto"/>
                            <w:left w:val="none" w:sz="0" w:space="0" w:color="auto"/>
                            <w:bottom w:val="none" w:sz="0" w:space="0" w:color="auto"/>
                            <w:right w:val="none" w:sz="0" w:space="0" w:color="auto"/>
                          </w:divBdr>
                          <w:divsChild>
                            <w:div w:id="1008873696">
                              <w:marLeft w:val="0"/>
                              <w:marRight w:val="0"/>
                              <w:marTop w:val="0"/>
                              <w:marBottom w:val="0"/>
                              <w:divBdr>
                                <w:top w:val="none" w:sz="0" w:space="0" w:color="auto"/>
                                <w:left w:val="none" w:sz="0" w:space="0" w:color="auto"/>
                                <w:bottom w:val="none" w:sz="0" w:space="0" w:color="auto"/>
                                <w:right w:val="none" w:sz="0" w:space="0" w:color="auto"/>
                              </w:divBdr>
                              <w:divsChild>
                                <w:div w:id="12706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740326">
      <w:bodyDiv w:val="1"/>
      <w:marLeft w:val="0"/>
      <w:marRight w:val="0"/>
      <w:marTop w:val="0"/>
      <w:marBottom w:val="0"/>
      <w:divBdr>
        <w:top w:val="none" w:sz="0" w:space="0" w:color="auto"/>
        <w:left w:val="none" w:sz="0" w:space="0" w:color="auto"/>
        <w:bottom w:val="none" w:sz="0" w:space="0" w:color="auto"/>
        <w:right w:val="none" w:sz="0" w:space="0" w:color="auto"/>
      </w:divBdr>
    </w:div>
    <w:div w:id="1275483820">
      <w:bodyDiv w:val="1"/>
      <w:marLeft w:val="0"/>
      <w:marRight w:val="0"/>
      <w:marTop w:val="0"/>
      <w:marBottom w:val="0"/>
      <w:divBdr>
        <w:top w:val="none" w:sz="0" w:space="0" w:color="auto"/>
        <w:left w:val="none" w:sz="0" w:space="0" w:color="auto"/>
        <w:bottom w:val="none" w:sz="0" w:space="0" w:color="auto"/>
        <w:right w:val="none" w:sz="0" w:space="0" w:color="auto"/>
      </w:divBdr>
    </w:div>
    <w:div w:id="15121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1830" TargetMode="External"/><Relationship Id="rId13" Type="http://schemas.openxmlformats.org/officeDocument/2006/relationships/hyperlink" Target="http://fr.wikipedia.org/wiki/Trois_Glorieuses" TargetMode="External"/><Relationship Id="rId18" Type="http://schemas.openxmlformats.org/officeDocument/2006/relationships/hyperlink" Target="http://fr.wikipedia.org/wiki/Romantisme_fran%C3%A7ais" TargetMode="External"/><Relationship Id="rId26" Type="http://schemas.openxmlformats.org/officeDocument/2006/relationships/hyperlink" Target="http://fr.wikipedia.org/wiki/Billet_de_banque" TargetMode="External"/><Relationship Id="rId3" Type="http://schemas.openxmlformats.org/officeDocument/2006/relationships/settings" Target="settings.xml"/><Relationship Id="rId21" Type="http://schemas.openxmlformats.org/officeDocument/2006/relationships/hyperlink" Target="http://fr.wikipedia.org/wiki/Les_Mis%C3%A9rables" TargetMode="External"/><Relationship Id="rId7" Type="http://schemas.openxmlformats.org/officeDocument/2006/relationships/hyperlink" Target="http://fr.wikipedia.org/wiki/Eug%C3%A8ne_Delacroix" TargetMode="External"/><Relationship Id="rId12" Type="http://schemas.openxmlformats.org/officeDocument/2006/relationships/hyperlink" Target="http://fr.wikipedia.org/wiki/1874" TargetMode="External"/><Relationship Id="rId17" Type="http://schemas.openxmlformats.org/officeDocument/2006/relationships/hyperlink" Target="http://fr.wikipedia.org/wiki/Monarchie_de_juillet" TargetMode="External"/><Relationship Id="rId25" Type="http://schemas.openxmlformats.org/officeDocument/2006/relationships/hyperlink" Target="http://fr.wikipedia.org/wiki/La_Libert%C3%A9_guidant_le_peuple" TargetMode="External"/><Relationship Id="rId2" Type="http://schemas.openxmlformats.org/officeDocument/2006/relationships/styles" Target="styles.xml"/><Relationship Id="rId16" Type="http://schemas.openxmlformats.org/officeDocument/2006/relationships/hyperlink" Target="http://fr.wikipedia.org/wiki/Louis-Philippe_Ier" TargetMode="External"/><Relationship Id="rId20" Type="http://schemas.openxmlformats.org/officeDocument/2006/relationships/hyperlink" Target="http://fr.wikipedia.org/wiki/Victor_Hugo" TargetMode="External"/><Relationship Id="rId29" Type="http://schemas.openxmlformats.org/officeDocument/2006/relationships/hyperlink" Target="http://fr.wikipedia.org/wiki/Pierre_Gandon" TargetMode="External"/><Relationship Id="rId1" Type="http://schemas.openxmlformats.org/officeDocument/2006/relationships/numbering" Target="numbering.xml"/><Relationship Id="rId6" Type="http://schemas.openxmlformats.org/officeDocument/2006/relationships/hyperlink" Target="http://fr.wikipedia.org/wiki/Peinture_%C3%A0_l%27huile" TargetMode="External"/><Relationship Id="rId11" Type="http://schemas.openxmlformats.org/officeDocument/2006/relationships/hyperlink" Target="http://fr.wikipedia.org/wiki/Mus%C3%A9e_du_Louvre" TargetMode="External"/><Relationship Id="rId24" Type="http://schemas.openxmlformats.org/officeDocument/2006/relationships/hyperlink" Target="http://fr.wikipedia.org/wiki/XXe_si%C3%A8cle"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fr.wikipedia.org/wiki/Libert%C3%A9_de_la_presse" TargetMode="External"/><Relationship Id="rId23" Type="http://schemas.openxmlformats.org/officeDocument/2006/relationships/hyperlink" Target="http://fr.wikipedia.org/wiki/XIXe_si%C3%A8cle" TargetMode="External"/><Relationship Id="rId28" Type="http://schemas.openxmlformats.org/officeDocument/2006/relationships/hyperlink" Target="http://fr.wikipedia.org/wiki/Timbre_d%27usage_courant" TargetMode="External"/><Relationship Id="rId10" Type="http://schemas.openxmlformats.org/officeDocument/2006/relationships/hyperlink" Target="http://fr.wikipedia.org/wiki/1831" TargetMode="External"/><Relationship Id="rId19" Type="http://schemas.openxmlformats.org/officeDocument/2006/relationships/hyperlink" Target="http://fr.wikipedia.org/wiki/Peinture_acad%C3%A9miqu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ki/Salon_de_Paris" TargetMode="External"/><Relationship Id="rId14" Type="http://schemas.openxmlformats.org/officeDocument/2006/relationships/hyperlink" Target="http://fr.wikipedia.org/wiki/Charles_X_de_France" TargetMode="External"/><Relationship Id="rId22" Type="http://schemas.openxmlformats.org/officeDocument/2006/relationships/hyperlink" Target="http://fr.wikipedia.org/wiki/Gavroche" TargetMode="External"/><Relationship Id="rId27" Type="http://schemas.openxmlformats.org/officeDocument/2006/relationships/hyperlink" Target="http://fr.wikipedia.org/wiki/Franc_fran%C3%A7ais" TargetMode="External"/><Relationship Id="rId30" Type="http://schemas.openxmlformats.org/officeDocument/2006/relationships/hyperlink" Target="http://fr.wikipedia.org/wiki/Libert%C3%A9_de_Gandon_d%27apr%C3%A8s_Delacroi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1001</Words>
  <Characters>5509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2014-01-02T11:28:00Z</dcterms:created>
  <dcterms:modified xsi:type="dcterms:W3CDTF">2014-03-17T22:31:00Z</dcterms:modified>
</cp:coreProperties>
</file>