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86" w:rsidRPr="008E48A7" w:rsidRDefault="00CA4886" w:rsidP="00CA4886">
      <w:pPr>
        <w:spacing w:line="240" w:lineRule="auto"/>
        <w:contextualSpacing/>
        <w:jc w:val="center"/>
        <w:rPr>
          <w:b/>
        </w:rPr>
      </w:pPr>
      <w:r w:rsidRPr="008E48A7">
        <w:rPr>
          <w:b/>
        </w:rPr>
        <w:t>PROJET COMENIUS</w:t>
      </w:r>
    </w:p>
    <w:p w:rsidR="008E48A7" w:rsidRPr="008E48A7" w:rsidRDefault="008E48A7" w:rsidP="00CA4886">
      <w:pPr>
        <w:spacing w:line="240" w:lineRule="auto"/>
        <w:contextualSpacing/>
        <w:jc w:val="center"/>
        <w:rPr>
          <w:b/>
        </w:rPr>
      </w:pPr>
    </w:p>
    <w:p w:rsidR="00CA4886" w:rsidRPr="008E48A7" w:rsidRDefault="00CA4886" w:rsidP="00CA4886">
      <w:pPr>
        <w:spacing w:before="100" w:beforeAutospacing="1" w:after="100" w:afterAutospacing="1" w:line="240" w:lineRule="auto"/>
        <w:contextualSpacing/>
        <w:jc w:val="both"/>
        <w:rPr>
          <w:rFonts w:ascii="Calibri" w:hAnsi="Calibri"/>
          <w:color w:val="000000"/>
        </w:rPr>
      </w:pPr>
      <w:r w:rsidRPr="008E48A7">
        <w:rPr>
          <w:rFonts w:ascii="Calibri" w:hAnsi="Calibri"/>
          <w:color w:val="000000"/>
        </w:rPr>
        <w:t>Notre établissement est engagé pour deux ans (2013-2014 et 2014-2015) dans un projet Comenius</w:t>
      </w:r>
      <w:r w:rsidRPr="008E48A7">
        <w:rPr>
          <w:rFonts w:ascii="Calibri" w:hAnsi="Calibri"/>
          <w:b/>
          <w:color w:val="000000"/>
        </w:rPr>
        <w:t xml:space="preserve"> </w:t>
      </w:r>
      <w:r w:rsidRPr="008E48A7">
        <w:rPr>
          <w:rFonts w:ascii="Calibri" w:hAnsi="Calibri"/>
          <w:color w:val="000000"/>
        </w:rPr>
        <w:t>financé par l’Europe. Ce projet interculturel est intitulé « </w:t>
      </w:r>
      <w:proofErr w:type="spellStart"/>
      <w:r w:rsidRPr="008E48A7">
        <w:rPr>
          <w:rFonts w:ascii="Calibri" w:hAnsi="Calibri"/>
          <w:color w:val="000000"/>
        </w:rPr>
        <w:t>Peaceful</w:t>
      </w:r>
      <w:proofErr w:type="spellEnd"/>
      <w:r w:rsidRPr="008E48A7">
        <w:rPr>
          <w:rFonts w:ascii="Calibri" w:hAnsi="Calibri"/>
          <w:color w:val="000000"/>
        </w:rPr>
        <w:t xml:space="preserve"> horizons », </w:t>
      </w:r>
      <w:r w:rsidRPr="008E48A7">
        <w:t xml:space="preserve">C.O.M.P.A.S.S (Come Over </w:t>
      </w:r>
      <w:proofErr w:type="spellStart"/>
      <w:r w:rsidRPr="008E48A7">
        <w:t>Make</w:t>
      </w:r>
      <w:proofErr w:type="spellEnd"/>
      <w:r w:rsidRPr="008E48A7">
        <w:t xml:space="preserve"> a Project </w:t>
      </w:r>
      <w:proofErr w:type="spellStart"/>
      <w:r w:rsidRPr="008E48A7">
        <w:t>Attempt</w:t>
      </w:r>
      <w:proofErr w:type="spellEnd"/>
      <w:r w:rsidRPr="008E48A7">
        <w:t xml:space="preserve"> to Social </w:t>
      </w:r>
      <w:proofErr w:type="spellStart"/>
      <w:r w:rsidRPr="008E48A7">
        <w:t>Solidarity</w:t>
      </w:r>
      <w:proofErr w:type="spellEnd"/>
      <w:r w:rsidRPr="008E48A7">
        <w:t>)</w:t>
      </w:r>
      <w:r w:rsidRPr="008E48A7">
        <w:rPr>
          <w:rFonts w:ascii="Calibri" w:hAnsi="Calibri"/>
          <w:color w:val="000000"/>
        </w:rPr>
        <w:t xml:space="preserve"> et permettra de faire connaître la culture française et les cultures d’origine des élèves allophones tout en s’ouvrant à la culture des autres partenaires (Guyane française, Allemagne, Slovaquie, Espagne, Italie, Pologne, Turquie, Suède, Grèce). L’objectif est de développer la tolérance et de lutter contre les préjugés et le racisme dans une Europe multiculturelle. </w:t>
      </w:r>
    </w:p>
    <w:p w:rsidR="008E48A7" w:rsidRPr="008E48A7" w:rsidRDefault="008E48A7" w:rsidP="00CA4886">
      <w:pPr>
        <w:spacing w:before="100" w:beforeAutospacing="1" w:after="100" w:afterAutospacing="1" w:line="240" w:lineRule="auto"/>
        <w:contextualSpacing/>
        <w:jc w:val="both"/>
        <w:rPr>
          <w:rFonts w:ascii="Calibri" w:hAnsi="Calibri"/>
          <w:color w:val="000000"/>
        </w:rPr>
      </w:pPr>
    </w:p>
    <w:p w:rsidR="00CA4886" w:rsidRDefault="00CA4886" w:rsidP="00CA4886">
      <w:pPr>
        <w:spacing w:before="100" w:beforeAutospacing="1" w:after="100" w:afterAutospacing="1" w:line="240" w:lineRule="auto"/>
        <w:contextualSpacing/>
        <w:jc w:val="both"/>
        <w:rPr>
          <w:rFonts w:ascii="Calibri" w:hAnsi="Calibri"/>
          <w:color w:val="000000"/>
        </w:rPr>
      </w:pPr>
      <w:r w:rsidRPr="008E48A7">
        <w:rPr>
          <w:rFonts w:ascii="Calibri" w:hAnsi="Calibri"/>
          <w:color w:val="000000"/>
        </w:rPr>
        <w:t xml:space="preserve">Le coordonateur du projet est Sandrine KILANI, professeur de langue seconde. Elle travaille avec les élèves allophones du lycée qui feront des recherches documentaires en français mais qui échangeront avec les partenaires en anglais. Ils seront amenés à utiliser très régulièrement les nouvelles technologies pour communiquer mais aussi pour produire films, affiches, quizz, etc. Les thèmes abordés seront nombreux et toucheront à la vie quotidienne, la cuisine, les coutumes, l’artisanat, les métiers, les arts, l’histoire, l’économie, la nature et le développement durable, etc. </w:t>
      </w:r>
    </w:p>
    <w:p w:rsidR="001F7405" w:rsidRDefault="001F7405" w:rsidP="00CA4886">
      <w:pPr>
        <w:spacing w:before="100" w:beforeAutospacing="1" w:after="100" w:afterAutospacing="1" w:line="240" w:lineRule="auto"/>
        <w:contextualSpacing/>
        <w:jc w:val="both"/>
        <w:rPr>
          <w:rFonts w:ascii="Calibri" w:hAnsi="Calibri"/>
          <w:color w:val="000000"/>
        </w:rPr>
      </w:pPr>
    </w:p>
    <w:p w:rsidR="001F7405" w:rsidRPr="008E48A7" w:rsidRDefault="001F7405" w:rsidP="001F7405">
      <w:pPr>
        <w:spacing w:before="100" w:beforeAutospacing="1" w:after="100" w:afterAutospacing="1"/>
        <w:jc w:val="both"/>
      </w:pPr>
      <w:r w:rsidRPr="008E48A7">
        <w:rPr>
          <w:rFonts w:ascii="Calibri" w:hAnsi="Calibri"/>
          <w:color w:val="000000"/>
        </w:rPr>
        <w:t xml:space="preserve">Pour voir les productions et avoir des informations complémentaires, voir le site : </w:t>
      </w:r>
      <w:hyperlink r:id="rId4" w:history="1">
        <w:r w:rsidRPr="008E48A7">
          <w:rPr>
            <w:rStyle w:val="Lienhypertexte"/>
            <w:rFonts w:ascii="Calibri" w:hAnsi="Calibri"/>
          </w:rPr>
          <w:t>http://clakilani2.jimdo.com/</w:t>
        </w:r>
      </w:hyperlink>
    </w:p>
    <w:p w:rsidR="001F7405" w:rsidRDefault="001F7405" w:rsidP="001F7405">
      <w:pPr>
        <w:spacing w:before="100" w:beforeAutospacing="1" w:after="100" w:afterAutospacing="1"/>
        <w:jc w:val="both"/>
      </w:pPr>
      <w:r w:rsidRPr="008E48A7">
        <w:t xml:space="preserve">Pour contacter Mme Kilani : </w:t>
      </w:r>
      <w:hyperlink r:id="rId5" w:history="1">
        <w:r w:rsidRPr="008E48A7">
          <w:rPr>
            <w:rStyle w:val="Lienhypertexte"/>
          </w:rPr>
          <w:t>sandrine.boitiere.kilani@gmail.com</w:t>
        </w:r>
      </w:hyperlink>
    </w:p>
    <w:p w:rsidR="001F7405" w:rsidRPr="00AD751C" w:rsidRDefault="001F7405" w:rsidP="001F7405">
      <w:pPr>
        <w:pBdr>
          <w:top w:val="single" w:sz="4" w:space="1" w:color="auto"/>
          <w:left w:val="single" w:sz="4" w:space="4" w:color="auto"/>
          <w:bottom w:val="single" w:sz="4" w:space="1" w:color="auto"/>
          <w:right w:val="single" w:sz="4" w:space="4" w:color="auto"/>
        </w:pBdr>
        <w:spacing w:before="100" w:beforeAutospacing="1" w:after="100" w:afterAutospacing="1"/>
        <w:jc w:val="center"/>
        <w:rPr>
          <w:b/>
        </w:rPr>
      </w:pPr>
      <w:r w:rsidRPr="00AD751C">
        <w:rPr>
          <w:b/>
        </w:rPr>
        <w:t>CALENDRIER PREVISIONNEL</w:t>
      </w:r>
    </w:p>
    <w:p w:rsidR="00CA4886" w:rsidRDefault="00CA4886" w:rsidP="00CA4886">
      <w:pPr>
        <w:spacing w:before="100" w:beforeAutospacing="1" w:after="100" w:afterAutospacing="1" w:line="240" w:lineRule="auto"/>
        <w:contextualSpacing/>
        <w:jc w:val="both"/>
        <w:rPr>
          <w:rFonts w:ascii="Calibri" w:hAnsi="Calibri"/>
          <w:color w:val="000000"/>
        </w:rPr>
      </w:pPr>
      <w:r w:rsidRPr="008E48A7">
        <w:rPr>
          <w:rFonts w:ascii="Calibri" w:hAnsi="Calibri"/>
          <w:color w:val="000000"/>
        </w:rPr>
        <w:t>Pour 2013-2014</w:t>
      </w:r>
    </w:p>
    <w:p w:rsidR="001F7405" w:rsidRPr="008E48A7" w:rsidRDefault="001F7405" w:rsidP="00CA4886">
      <w:pPr>
        <w:spacing w:before="100" w:beforeAutospacing="1" w:after="100" w:afterAutospacing="1" w:line="240" w:lineRule="auto"/>
        <w:contextualSpacing/>
        <w:jc w:val="both"/>
        <w:rPr>
          <w:rFonts w:ascii="Calibri" w:hAnsi="Calibri"/>
          <w:color w:val="000000"/>
        </w:rPr>
      </w:pPr>
    </w:p>
    <w:tbl>
      <w:tblPr>
        <w:tblStyle w:val="Grilledutableau"/>
        <w:tblW w:w="0" w:type="auto"/>
        <w:tblLook w:val="04A0"/>
      </w:tblPr>
      <w:tblGrid>
        <w:gridCol w:w="1242"/>
        <w:gridCol w:w="7970"/>
      </w:tblGrid>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A faire pour...</w:t>
            </w:r>
          </w:p>
        </w:tc>
        <w:tc>
          <w:tcPr>
            <w:tcW w:w="7970" w:type="dxa"/>
            <w:tcBorders>
              <w:top w:val="single" w:sz="4" w:space="0" w:color="auto"/>
              <w:left w:val="single" w:sz="4" w:space="0" w:color="auto"/>
              <w:bottom w:val="single" w:sz="4" w:space="0" w:color="auto"/>
              <w:right w:val="single" w:sz="4" w:space="0" w:color="auto"/>
            </w:tcBorders>
          </w:tcPr>
          <w:p w:rsidR="00CA4886" w:rsidRPr="008E48A7" w:rsidRDefault="00CA4886" w:rsidP="00CA4886">
            <w:pPr>
              <w:spacing w:before="100" w:beforeAutospacing="1" w:after="100" w:afterAutospacing="1"/>
              <w:contextualSpacing/>
              <w:jc w:val="both"/>
              <w:rPr>
                <w:rFonts w:ascii="Calibri" w:hAnsi="Calibri"/>
                <w:color w:val="000000"/>
              </w:rPr>
            </w:pP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Oct</w:t>
            </w:r>
            <w:r w:rsidR="00602910">
              <w:rPr>
                <w:rFonts w:ascii="Calibri" w:hAnsi="Calibri"/>
                <w:color w:val="000000"/>
              </w:rPr>
              <w:t>obre</w:t>
            </w:r>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Suède)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-Quizz sur les pays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-Vidéo pour présenter l’établissement, la région, le pays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-Les élèves se présentent, disent ce qu’ils font pendant leurs loisirs, etc.</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-Emission de radio dans une radio ou TV locale</w:t>
            </w: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Décembre</w:t>
            </w:r>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Italie)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-Réalisation d’un logo pour le projet</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-Calendrier avec les fêtes principales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-Comparaison entre les différentes manières de célébrer les fêtes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-PPT : Comment fêtez-vous votre anniversaire ?</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 xml:space="preserve">-Recettes et spécialités </w:t>
            </w: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Février-Mars</w:t>
            </w:r>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France)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-Radio trottoir pour enregistrer des témoignages sur ce que les gens savent des pays partenaires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-Recherches sur des artistes célèbres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-Visite de musées d’art locaux</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-Compétition artistique : symboles de paix</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-Exposition dans les écoles, les mairies</w:t>
            </w: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CA4886" w:rsidP="00CA4886">
            <w:pPr>
              <w:spacing w:before="100" w:beforeAutospacing="1" w:after="100" w:afterAutospacing="1"/>
              <w:contextualSpacing/>
              <w:jc w:val="both"/>
              <w:rPr>
                <w:rFonts w:ascii="Calibri" w:hAnsi="Calibri"/>
                <w:color w:val="000000"/>
              </w:rPr>
            </w:pPr>
            <w:proofErr w:type="spellStart"/>
            <w:r w:rsidRPr="008E48A7">
              <w:rPr>
                <w:rFonts w:ascii="Calibri" w:hAnsi="Calibri"/>
                <w:color w:val="000000"/>
              </w:rPr>
              <w:t>Mai-Juin</w:t>
            </w:r>
            <w:proofErr w:type="spellEnd"/>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Grèce)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-Recherches sur la Nature, la protection de l’environnement, les espèces en danger.</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-Excursions dans des sites locaux naturels avec présentations (photos et descriptions)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-Exposition dans l’établissement</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-Comparaison sur la vie en ville et la vie à la campagne : avantages et inconvénients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-Ma vie de tous les jours (chaque élève devra se filmer sur une journée)</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-Portraits de personnes célèbres (science, politique, religion).</w:t>
            </w:r>
          </w:p>
        </w:tc>
      </w:tr>
    </w:tbl>
    <w:p w:rsidR="001F7405" w:rsidRDefault="001F7405">
      <w:r>
        <w:br w:type="page"/>
      </w:r>
    </w:p>
    <w:p w:rsidR="001F7405" w:rsidRDefault="001F7405" w:rsidP="001F7405">
      <w:pPr>
        <w:rPr>
          <w:lang w:val="en-US"/>
        </w:rPr>
      </w:pPr>
      <w:r>
        <w:rPr>
          <w:lang w:val="en-US"/>
        </w:rPr>
        <w:lastRenderedPageBreak/>
        <w:t>Pour 2014-2015</w:t>
      </w:r>
    </w:p>
    <w:tbl>
      <w:tblPr>
        <w:tblStyle w:val="Grilledutableau"/>
        <w:tblW w:w="0" w:type="auto"/>
        <w:tblLook w:val="04A0"/>
      </w:tblPr>
      <w:tblGrid>
        <w:gridCol w:w="1951"/>
        <w:gridCol w:w="4190"/>
        <w:gridCol w:w="3071"/>
      </w:tblGrid>
      <w:tr w:rsidR="001F7405" w:rsidTr="00B0087D">
        <w:tc>
          <w:tcPr>
            <w:tcW w:w="1951" w:type="dxa"/>
          </w:tcPr>
          <w:p w:rsidR="001F7405" w:rsidRDefault="001F7405" w:rsidP="00B0087D">
            <w:pPr>
              <w:rPr>
                <w:lang w:val="en-US"/>
              </w:rPr>
            </w:pPr>
            <w:proofErr w:type="spellStart"/>
            <w:r>
              <w:rPr>
                <w:lang w:val="en-US"/>
              </w:rPr>
              <w:t>Calendrier</w:t>
            </w:r>
            <w:proofErr w:type="spellEnd"/>
          </w:p>
        </w:tc>
        <w:tc>
          <w:tcPr>
            <w:tcW w:w="4190" w:type="dxa"/>
          </w:tcPr>
          <w:p w:rsidR="001F7405" w:rsidRDefault="001F7405" w:rsidP="00B0087D">
            <w:pPr>
              <w:rPr>
                <w:lang w:val="en-US"/>
              </w:rPr>
            </w:pPr>
            <w:proofErr w:type="spellStart"/>
            <w:r>
              <w:rPr>
                <w:lang w:val="en-US"/>
              </w:rPr>
              <w:t>Activités</w:t>
            </w:r>
            <w:proofErr w:type="spellEnd"/>
          </w:p>
        </w:tc>
        <w:tc>
          <w:tcPr>
            <w:tcW w:w="3071" w:type="dxa"/>
          </w:tcPr>
          <w:p w:rsidR="001F7405" w:rsidRDefault="001F7405" w:rsidP="00B0087D">
            <w:pPr>
              <w:rPr>
                <w:lang w:val="en-US"/>
              </w:rPr>
            </w:pPr>
            <w:r>
              <w:rPr>
                <w:lang w:val="en-US"/>
              </w:rPr>
              <w:t>Voyage</w:t>
            </w:r>
          </w:p>
        </w:tc>
      </w:tr>
      <w:tr w:rsidR="001F7405" w:rsidRPr="00EB5004" w:rsidTr="00B0087D">
        <w:tc>
          <w:tcPr>
            <w:tcW w:w="1951" w:type="dxa"/>
          </w:tcPr>
          <w:p w:rsidR="001F7405" w:rsidRDefault="001F7405" w:rsidP="00B0087D">
            <w:pPr>
              <w:rPr>
                <w:lang w:val="en-US"/>
              </w:rPr>
            </w:pPr>
            <w:proofErr w:type="spellStart"/>
            <w:r>
              <w:rPr>
                <w:lang w:val="en-US"/>
              </w:rPr>
              <w:t>Juin-Septembre</w:t>
            </w:r>
            <w:proofErr w:type="spellEnd"/>
          </w:p>
        </w:tc>
        <w:tc>
          <w:tcPr>
            <w:tcW w:w="4190" w:type="dxa"/>
          </w:tcPr>
          <w:p w:rsidR="001F7405" w:rsidRPr="00EB5004" w:rsidRDefault="001F7405" w:rsidP="00B0087D">
            <w:r>
              <w:t>Thème 8 : P</w:t>
            </w:r>
            <w:r w:rsidRPr="00EB5004">
              <w:t>erson</w:t>
            </w:r>
            <w:r>
              <w:t>n</w:t>
            </w:r>
            <w:r w:rsidRPr="00EB5004">
              <w:t>ages célèbres en sciences, politique</w:t>
            </w:r>
            <w:r>
              <w:t>, religion</w:t>
            </w:r>
          </w:p>
        </w:tc>
        <w:tc>
          <w:tcPr>
            <w:tcW w:w="3071" w:type="dxa"/>
          </w:tcPr>
          <w:p w:rsidR="001F7405" w:rsidRPr="00EB5004" w:rsidRDefault="001F7405" w:rsidP="00B0087D"/>
        </w:tc>
      </w:tr>
      <w:tr w:rsidR="001F7405" w:rsidTr="00B0087D">
        <w:tc>
          <w:tcPr>
            <w:tcW w:w="1951" w:type="dxa"/>
          </w:tcPr>
          <w:p w:rsidR="001F7405" w:rsidRPr="00EB5004" w:rsidRDefault="001F7405" w:rsidP="00B0087D">
            <w:r>
              <w:rPr>
                <w:lang w:val="en-US"/>
              </w:rPr>
              <w:t xml:space="preserve">Du 6 au 11 </w:t>
            </w:r>
            <w:proofErr w:type="spellStart"/>
            <w:r>
              <w:rPr>
                <w:lang w:val="en-US"/>
              </w:rPr>
              <w:t>octobre</w:t>
            </w:r>
            <w:proofErr w:type="spellEnd"/>
          </w:p>
        </w:tc>
        <w:tc>
          <w:tcPr>
            <w:tcW w:w="4190" w:type="dxa"/>
          </w:tcPr>
          <w:p w:rsidR="001F7405" w:rsidRDefault="001F7405" w:rsidP="00B0087D">
            <w:r>
              <w:t>Visite du musée historique</w:t>
            </w:r>
          </w:p>
          <w:p w:rsidR="001F7405" w:rsidRPr="00EB5004" w:rsidRDefault="001F7405" w:rsidP="00B0087D">
            <w:r>
              <w:t>Visite de la cathédrale</w:t>
            </w:r>
          </w:p>
        </w:tc>
        <w:tc>
          <w:tcPr>
            <w:tcW w:w="3071" w:type="dxa"/>
          </w:tcPr>
          <w:p w:rsidR="001F7405" w:rsidRDefault="001F7405" w:rsidP="00B0087D">
            <w:pPr>
              <w:rPr>
                <w:lang w:val="en-US"/>
              </w:rPr>
            </w:pPr>
            <w:proofErr w:type="spellStart"/>
            <w:r>
              <w:rPr>
                <w:lang w:val="en-US"/>
              </w:rPr>
              <w:t>Pologne</w:t>
            </w:r>
            <w:proofErr w:type="spellEnd"/>
          </w:p>
          <w:p w:rsidR="001F7405" w:rsidRDefault="001F7405" w:rsidP="00B0087D">
            <w:pPr>
              <w:rPr>
                <w:lang w:val="en-US"/>
              </w:rPr>
            </w:pPr>
          </w:p>
        </w:tc>
      </w:tr>
      <w:tr w:rsidR="001F7405" w:rsidRPr="00EB5004" w:rsidTr="00B0087D">
        <w:tc>
          <w:tcPr>
            <w:tcW w:w="1951" w:type="dxa"/>
          </w:tcPr>
          <w:p w:rsidR="001F7405" w:rsidRDefault="001F7405" w:rsidP="00B0087D">
            <w:pPr>
              <w:rPr>
                <w:lang w:val="en-US"/>
              </w:rPr>
            </w:pPr>
            <w:proofErr w:type="spellStart"/>
            <w:r>
              <w:rPr>
                <w:lang w:val="en-US"/>
              </w:rPr>
              <w:t>Octobre-Novembre</w:t>
            </w:r>
            <w:proofErr w:type="spellEnd"/>
          </w:p>
        </w:tc>
        <w:tc>
          <w:tcPr>
            <w:tcW w:w="4190" w:type="dxa"/>
          </w:tcPr>
          <w:p w:rsidR="001F7405" w:rsidRDefault="001F7405" w:rsidP="00B0087D">
            <w:r>
              <w:t>Thème 9 : économie</w:t>
            </w:r>
          </w:p>
          <w:p w:rsidR="001F7405" w:rsidRPr="00EB5004" w:rsidRDefault="001F7405" w:rsidP="00B0087D">
            <w:r w:rsidRPr="00EB5004">
              <w:t>Présentation de l’artisanat et traditions locales</w:t>
            </w:r>
          </w:p>
          <w:p w:rsidR="001F7405" w:rsidRDefault="001F7405" w:rsidP="00B0087D">
            <w:r>
              <w:t>Recherches sur l’économie locale</w:t>
            </w:r>
          </w:p>
          <w:p w:rsidR="001F7405" w:rsidRDefault="001F7405" w:rsidP="00B0087D">
            <w:r>
              <w:t>De l’école au monde du travail</w:t>
            </w:r>
          </w:p>
          <w:p w:rsidR="001F7405" w:rsidRDefault="001F7405" w:rsidP="00B0087D">
            <w:r>
              <w:t>Interview d’expert (banques, épargne…)</w:t>
            </w:r>
          </w:p>
          <w:p w:rsidR="001F7405" w:rsidRPr="00EB5004" w:rsidRDefault="001F7405" w:rsidP="00B0087D">
            <w:r>
              <w:t>Comment la crise nous affecte</w:t>
            </w:r>
          </w:p>
        </w:tc>
        <w:tc>
          <w:tcPr>
            <w:tcW w:w="3071" w:type="dxa"/>
          </w:tcPr>
          <w:p w:rsidR="001F7405" w:rsidRPr="00EB5004" w:rsidRDefault="001F7405" w:rsidP="00B0087D"/>
        </w:tc>
      </w:tr>
      <w:tr w:rsidR="001F7405" w:rsidRPr="00C408C0" w:rsidTr="00B0087D">
        <w:tc>
          <w:tcPr>
            <w:tcW w:w="1951" w:type="dxa"/>
          </w:tcPr>
          <w:p w:rsidR="001F7405" w:rsidRPr="00EB5004" w:rsidRDefault="001F7405" w:rsidP="00B0087D">
            <w:r w:rsidRPr="00C408C0">
              <w:t>Du 1er au 5 décembre</w:t>
            </w:r>
          </w:p>
        </w:tc>
        <w:tc>
          <w:tcPr>
            <w:tcW w:w="4190" w:type="dxa"/>
          </w:tcPr>
          <w:p w:rsidR="001F7405" w:rsidRDefault="001F7405" w:rsidP="00B0087D">
            <w:r>
              <w:t>Visite d’un atelier d’apprentis (</w:t>
            </w:r>
            <w:proofErr w:type="spellStart"/>
            <w:r>
              <w:t>Wolkswagnen</w:t>
            </w:r>
            <w:proofErr w:type="spellEnd"/>
            <w:r>
              <w:t>)</w:t>
            </w:r>
          </w:p>
          <w:p w:rsidR="001F7405" w:rsidRDefault="001F7405" w:rsidP="00B0087D">
            <w:r>
              <w:t>Rencontres d’artistes et de professionnels</w:t>
            </w:r>
          </w:p>
          <w:p w:rsidR="001F7405" w:rsidRDefault="001F7405" w:rsidP="00B0087D">
            <w:r>
              <w:t>Visite du marché de Noël</w:t>
            </w:r>
          </w:p>
          <w:p w:rsidR="001F7405" w:rsidRPr="00EB5004" w:rsidRDefault="001F7405" w:rsidP="00B0087D">
            <w:r>
              <w:t>Visites de musées de la nature, de l’immigration, du monde, etc.</w:t>
            </w:r>
          </w:p>
        </w:tc>
        <w:tc>
          <w:tcPr>
            <w:tcW w:w="3071" w:type="dxa"/>
          </w:tcPr>
          <w:p w:rsidR="001F7405" w:rsidRPr="00C408C0" w:rsidRDefault="001F7405" w:rsidP="00B0087D">
            <w:r>
              <w:t>Allemagne</w:t>
            </w:r>
          </w:p>
          <w:p w:rsidR="001F7405" w:rsidRPr="00C408C0" w:rsidRDefault="001F7405" w:rsidP="00B0087D"/>
        </w:tc>
      </w:tr>
      <w:tr w:rsidR="001F7405" w:rsidRPr="00C408C0" w:rsidTr="00B0087D">
        <w:tc>
          <w:tcPr>
            <w:tcW w:w="1951" w:type="dxa"/>
          </w:tcPr>
          <w:p w:rsidR="001F7405" w:rsidRPr="00C408C0" w:rsidRDefault="001F7405" w:rsidP="00B0087D">
            <w:r>
              <w:t>Décembre-janvier-février</w:t>
            </w:r>
          </w:p>
        </w:tc>
        <w:tc>
          <w:tcPr>
            <w:tcW w:w="4190" w:type="dxa"/>
          </w:tcPr>
          <w:p w:rsidR="001F7405" w:rsidRDefault="001F7405" w:rsidP="00B0087D">
            <w:r>
              <w:t>Thème 10 : héritage culturel</w:t>
            </w:r>
          </w:p>
          <w:p w:rsidR="001F7405" w:rsidRPr="00C408C0" w:rsidRDefault="001F7405" w:rsidP="00B0087D">
            <w:r>
              <w:t>Visite de sites culturels importants, présentations.</w:t>
            </w:r>
          </w:p>
        </w:tc>
        <w:tc>
          <w:tcPr>
            <w:tcW w:w="3071" w:type="dxa"/>
          </w:tcPr>
          <w:p w:rsidR="001F7405" w:rsidRPr="00C408C0" w:rsidRDefault="001F7405" w:rsidP="00B0087D"/>
        </w:tc>
      </w:tr>
      <w:tr w:rsidR="001F7405" w:rsidRPr="00C408C0" w:rsidTr="00B0087D">
        <w:tc>
          <w:tcPr>
            <w:tcW w:w="1951" w:type="dxa"/>
          </w:tcPr>
          <w:p w:rsidR="001F7405" w:rsidRPr="00C408C0" w:rsidRDefault="001F7405" w:rsidP="00B0087D">
            <w:r>
              <w:t>Du 2 au 6 mars</w:t>
            </w:r>
          </w:p>
        </w:tc>
        <w:tc>
          <w:tcPr>
            <w:tcW w:w="4190" w:type="dxa"/>
          </w:tcPr>
          <w:p w:rsidR="001F7405" w:rsidRDefault="001F7405" w:rsidP="00B0087D">
            <w:r>
              <w:t>Découverte de l’héritage antique</w:t>
            </w:r>
          </w:p>
          <w:p w:rsidR="001F7405" w:rsidRDefault="001F7405" w:rsidP="00B0087D">
            <w:r>
              <w:t>Visite d’Ephèse</w:t>
            </w:r>
          </w:p>
          <w:p w:rsidR="001F7405" w:rsidRDefault="001F7405" w:rsidP="00B0087D">
            <w:r>
              <w:t>Visites du musée de la ville</w:t>
            </w:r>
          </w:p>
          <w:p w:rsidR="001F7405" w:rsidRPr="00C408C0" w:rsidRDefault="001F7405" w:rsidP="00B0087D">
            <w:r>
              <w:t>Pont entre les cultures</w:t>
            </w:r>
          </w:p>
        </w:tc>
        <w:tc>
          <w:tcPr>
            <w:tcW w:w="3071" w:type="dxa"/>
          </w:tcPr>
          <w:p w:rsidR="001F7405" w:rsidRPr="00C408C0" w:rsidRDefault="001F7405" w:rsidP="00B0087D">
            <w:r>
              <w:t>Turquie</w:t>
            </w:r>
          </w:p>
        </w:tc>
      </w:tr>
      <w:tr w:rsidR="001F7405" w:rsidRPr="00C408C0" w:rsidTr="00B0087D">
        <w:tc>
          <w:tcPr>
            <w:tcW w:w="1951" w:type="dxa"/>
          </w:tcPr>
          <w:p w:rsidR="001F7405" w:rsidRPr="00C408C0" w:rsidRDefault="001F7405" w:rsidP="00B0087D">
            <w:r>
              <w:t>Mars-Avril</w:t>
            </w:r>
          </w:p>
        </w:tc>
        <w:tc>
          <w:tcPr>
            <w:tcW w:w="4190" w:type="dxa"/>
          </w:tcPr>
          <w:p w:rsidR="001F7405" w:rsidRDefault="001F7405" w:rsidP="00B0087D">
            <w:r>
              <w:t>Thème 11 : Communication</w:t>
            </w:r>
          </w:p>
          <w:p w:rsidR="001F7405" w:rsidRDefault="001F7405" w:rsidP="00B0087D">
            <w:r>
              <w:t>Les conditions de l’apprentissage des langues</w:t>
            </w:r>
          </w:p>
          <w:p w:rsidR="001F7405" w:rsidRDefault="001F7405" w:rsidP="00B0087D">
            <w:r>
              <w:t>Carte des dialectes</w:t>
            </w:r>
          </w:p>
          <w:p w:rsidR="001F7405" w:rsidRDefault="001F7405" w:rsidP="00B0087D">
            <w:r>
              <w:t>Le langage corporel</w:t>
            </w:r>
          </w:p>
          <w:p w:rsidR="001F7405" w:rsidRPr="00C408C0" w:rsidRDefault="001F7405" w:rsidP="00B0087D">
            <w:r>
              <w:t>Chat</w:t>
            </w:r>
          </w:p>
        </w:tc>
        <w:tc>
          <w:tcPr>
            <w:tcW w:w="3071" w:type="dxa"/>
          </w:tcPr>
          <w:p w:rsidR="001F7405" w:rsidRPr="00C408C0" w:rsidRDefault="001F7405" w:rsidP="00B0087D"/>
        </w:tc>
      </w:tr>
      <w:tr w:rsidR="001F7405" w:rsidRPr="00C408C0" w:rsidTr="00B0087D">
        <w:tc>
          <w:tcPr>
            <w:tcW w:w="1951" w:type="dxa"/>
          </w:tcPr>
          <w:p w:rsidR="001F7405" w:rsidRDefault="001F7405" w:rsidP="00B0087D"/>
        </w:tc>
        <w:tc>
          <w:tcPr>
            <w:tcW w:w="4190" w:type="dxa"/>
          </w:tcPr>
          <w:p w:rsidR="001F7405" w:rsidRDefault="001F7405" w:rsidP="00B0087D">
            <w:r>
              <w:t>Thème 12 : Musique</w:t>
            </w:r>
          </w:p>
          <w:p w:rsidR="001F7405" w:rsidRDefault="001F7405" w:rsidP="00B0087D">
            <w:r>
              <w:t>Folklore local (danses et musiques)</w:t>
            </w:r>
          </w:p>
          <w:p w:rsidR="001F7405" w:rsidRDefault="001F7405" w:rsidP="00B0087D">
            <w:r>
              <w:t>Chansons traditionnelles</w:t>
            </w:r>
          </w:p>
          <w:p w:rsidR="001F7405" w:rsidRDefault="001F7405" w:rsidP="00B0087D">
            <w:r>
              <w:t>Enregistrement d’un CD</w:t>
            </w:r>
          </w:p>
        </w:tc>
        <w:tc>
          <w:tcPr>
            <w:tcW w:w="3071" w:type="dxa"/>
          </w:tcPr>
          <w:p w:rsidR="001F7405" w:rsidRPr="00C408C0" w:rsidRDefault="001F7405" w:rsidP="00B0087D"/>
        </w:tc>
      </w:tr>
      <w:tr w:rsidR="001F7405" w:rsidRPr="00C408C0" w:rsidTr="00B0087D">
        <w:tc>
          <w:tcPr>
            <w:tcW w:w="1951" w:type="dxa"/>
          </w:tcPr>
          <w:p w:rsidR="001F7405" w:rsidRPr="00C408C0" w:rsidRDefault="001F7405" w:rsidP="00B0087D">
            <w:r>
              <w:t>Du 20 au 25 avril</w:t>
            </w:r>
          </w:p>
        </w:tc>
        <w:tc>
          <w:tcPr>
            <w:tcW w:w="4190" w:type="dxa"/>
          </w:tcPr>
          <w:p w:rsidR="001F7405" w:rsidRDefault="001F7405" w:rsidP="00B0087D">
            <w:r>
              <w:t>Dictionnaire international</w:t>
            </w:r>
          </w:p>
          <w:p w:rsidR="001F7405" w:rsidRDefault="001F7405" w:rsidP="00B0087D">
            <w:r>
              <w:t>Jeux de pantomimes</w:t>
            </w:r>
          </w:p>
          <w:p w:rsidR="001F7405" w:rsidRDefault="001F7405" w:rsidP="00B0087D">
            <w:r>
              <w:t>Visites de Mérida</w:t>
            </w:r>
          </w:p>
          <w:p w:rsidR="001F7405" w:rsidRDefault="001F7405" w:rsidP="00B0087D">
            <w:r>
              <w:t>Musée du carnaval</w:t>
            </w:r>
          </w:p>
          <w:p w:rsidR="001F7405" w:rsidRDefault="001F7405" w:rsidP="00B0087D">
            <w:r>
              <w:t>Corrida</w:t>
            </w:r>
          </w:p>
          <w:p w:rsidR="001F7405" w:rsidRDefault="001F7405" w:rsidP="00B0087D">
            <w:r>
              <w:t>Spectacle de flamenco</w:t>
            </w:r>
          </w:p>
          <w:p w:rsidR="001F7405" w:rsidRDefault="001F7405" w:rsidP="00B0087D">
            <w:r>
              <w:t>Fabrique de charcuterie</w:t>
            </w:r>
          </w:p>
          <w:p w:rsidR="001F7405" w:rsidRPr="00C408C0" w:rsidRDefault="001F7405" w:rsidP="00B0087D">
            <w:r>
              <w:t xml:space="preserve">Découverte de </w:t>
            </w:r>
            <w:proofErr w:type="spellStart"/>
            <w:r>
              <w:t>Badajos</w:t>
            </w:r>
            <w:proofErr w:type="spellEnd"/>
            <w:r>
              <w:t xml:space="preserve"> et tapas</w:t>
            </w:r>
          </w:p>
        </w:tc>
        <w:tc>
          <w:tcPr>
            <w:tcW w:w="3071" w:type="dxa"/>
          </w:tcPr>
          <w:p w:rsidR="001F7405" w:rsidRDefault="001F7405" w:rsidP="00B0087D">
            <w:r>
              <w:t xml:space="preserve">Espagne </w:t>
            </w:r>
          </w:p>
          <w:p w:rsidR="001F7405" w:rsidRPr="00C408C0" w:rsidRDefault="001F7405" w:rsidP="00B0087D"/>
        </w:tc>
      </w:tr>
      <w:tr w:rsidR="001F7405" w:rsidRPr="00C408C0" w:rsidTr="00B0087D">
        <w:tc>
          <w:tcPr>
            <w:tcW w:w="1951" w:type="dxa"/>
          </w:tcPr>
          <w:p w:rsidR="001F7405" w:rsidRPr="00C408C0" w:rsidRDefault="001F7405" w:rsidP="00B0087D">
            <w:r>
              <w:t>Mai</w:t>
            </w:r>
          </w:p>
        </w:tc>
        <w:tc>
          <w:tcPr>
            <w:tcW w:w="4190" w:type="dxa"/>
          </w:tcPr>
          <w:p w:rsidR="001F7405" w:rsidRDefault="001F7405" w:rsidP="00B0087D">
            <w:r>
              <w:t>Questionnaires d’évaluation finale</w:t>
            </w:r>
          </w:p>
          <w:p w:rsidR="001F7405" w:rsidRPr="00C408C0" w:rsidRDefault="001F7405" w:rsidP="00B0087D">
            <w:r>
              <w:t>Photos de groupe</w:t>
            </w:r>
          </w:p>
        </w:tc>
        <w:tc>
          <w:tcPr>
            <w:tcW w:w="3071" w:type="dxa"/>
          </w:tcPr>
          <w:p w:rsidR="001F7405" w:rsidRDefault="001F7405" w:rsidP="00B0087D"/>
        </w:tc>
      </w:tr>
      <w:tr w:rsidR="001F7405" w:rsidRPr="00C408C0" w:rsidTr="00B0087D">
        <w:tc>
          <w:tcPr>
            <w:tcW w:w="1951" w:type="dxa"/>
          </w:tcPr>
          <w:p w:rsidR="001F7405" w:rsidRPr="00C408C0" w:rsidRDefault="001F7405" w:rsidP="00B0087D">
            <w:r>
              <w:t>Du 1er au 5 juin</w:t>
            </w:r>
          </w:p>
        </w:tc>
        <w:tc>
          <w:tcPr>
            <w:tcW w:w="4190" w:type="dxa"/>
          </w:tcPr>
          <w:p w:rsidR="001F7405" w:rsidRDefault="001F7405" w:rsidP="00B0087D">
            <w:r>
              <w:t>Comparaison : ce que nous avons en commun</w:t>
            </w:r>
          </w:p>
          <w:p w:rsidR="001F7405" w:rsidRDefault="001F7405" w:rsidP="00B0087D">
            <w:r>
              <w:t>Bilan du projet</w:t>
            </w:r>
          </w:p>
          <w:p w:rsidR="001F7405" w:rsidRPr="00C408C0" w:rsidRDefault="001F7405" w:rsidP="00B0087D">
            <w:r>
              <w:t>Poster de photos</w:t>
            </w:r>
          </w:p>
        </w:tc>
        <w:tc>
          <w:tcPr>
            <w:tcW w:w="3071" w:type="dxa"/>
          </w:tcPr>
          <w:p w:rsidR="001F7405" w:rsidRDefault="001F7405" w:rsidP="00B0087D">
            <w:r>
              <w:t>Slovaquie</w:t>
            </w:r>
          </w:p>
          <w:p w:rsidR="001F7405" w:rsidRDefault="001F7405" w:rsidP="00B0087D"/>
        </w:tc>
      </w:tr>
    </w:tbl>
    <w:p w:rsidR="00CA4886" w:rsidRPr="008E48A7" w:rsidRDefault="00CA4886" w:rsidP="00CA4886">
      <w:pPr>
        <w:spacing w:before="100" w:beforeAutospacing="1" w:after="100" w:afterAutospacing="1"/>
        <w:jc w:val="both"/>
      </w:pPr>
    </w:p>
    <w:p w:rsidR="008E48A7" w:rsidRDefault="008E48A7" w:rsidP="00CA4886">
      <w:pPr>
        <w:spacing w:before="100" w:beforeAutospacing="1" w:after="100" w:afterAutospacing="1"/>
        <w:jc w:val="center"/>
        <w:rPr>
          <w:rFonts w:ascii="Calibri" w:hAnsi="Calibri"/>
          <w:b/>
          <w:color w:val="000000"/>
          <w:sz w:val="24"/>
          <w:szCs w:val="24"/>
        </w:rPr>
      </w:pPr>
    </w:p>
    <w:p w:rsidR="008E48A7" w:rsidRDefault="008E48A7" w:rsidP="00CA4886">
      <w:pPr>
        <w:spacing w:before="100" w:beforeAutospacing="1" w:after="100" w:afterAutospacing="1"/>
        <w:jc w:val="center"/>
        <w:rPr>
          <w:rFonts w:ascii="Calibri" w:hAnsi="Calibri"/>
          <w:b/>
          <w:color w:val="000000"/>
          <w:sz w:val="24"/>
          <w:szCs w:val="24"/>
        </w:rPr>
      </w:pPr>
    </w:p>
    <w:sectPr w:rsidR="008E48A7" w:rsidSect="00E16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compat/>
  <w:rsids>
    <w:rsidRoot w:val="00CA4886"/>
    <w:rsid w:val="001F7405"/>
    <w:rsid w:val="0032677C"/>
    <w:rsid w:val="00602910"/>
    <w:rsid w:val="0080529D"/>
    <w:rsid w:val="008E48A7"/>
    <w:rsid w:val="00AD751C"/>
    <w:rsid w:val="00B44021"/>
    <w:rsid w:val="00CA4886"/>
    <w:rsid w:val="00E16C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4886"/>
    <w:rPr>
      <w:color w:val="0000FF" w:themeColor="hyperlink"/>
      <w:u w:val="single"/>
    </w:rPr>
  </w:style>
  <w:style w:type="table" w:styleId="Grilledutableau">
    <w:name w:val="Table Grid"/>
    <w:basedOn w:val="TableauNormal"/>
    <w:uiPriority w:val="59"/>
    <w:rsid w:val="00CA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3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ine.boitiere.kilani@gmail.com" TargetMode="External"/><Relationship Id="rId4" Type="http://schemas.openxmlformats.org/officeDocument/2006/relationships/hyperlink" Target="http://clakilani2.jimd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2014-08-28T07:28:00Z</cp:lastPrinted>
  <dcterms:created xsi:type="dcterms:W3CDTF">2014-03-07T09:13:00Z</dcterms:created>
  <dcterms:modified xsi:type="dcterms:W3CDTF">2014-08-28T07:29:00Z</dcterms:modified>
</cp:coreProperties>
</file>